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902" w:rsidRPr="003E099E" w:rsidRDefault="00521902">
      <w:pPr>
        <w:rPr>
          <w:b/>
        </w:rPr>
      </w:pPr>
      <w:r w:rsidRPr="003E099E">
        <w:rPr>
          <w:b/>
        </w:rPr>
        <w:t>Annexe 1 – Principes fondamentaux de la SRP</w:t>
      </w:r>
    </w:p>
    <w:tbl>
      <w:tblPr>
        <w:tblStyle w:val="TableGrid"/>
        <w:tblW w:w="0" w:type="auto"/>
        <w:tblLook w:val="04A0" w:firstRow="1" w:lastRow="0" w:firstColumn="1" w:lastColumn="0" w:noHBand="0" w:noVBand="1"/>
      </w:tblPr>
      <w:tblGrid>
        <w:gridCol w:w="2620"/>
        <w:gridCol w:w="2620"/>
        <w:gridCol w:w="2620"/>
        <w:gridCol w:w="2620"/>
        <w:gridCol w:w="2620"/>
      </w:tblGrid>
      <w:tr w:rsidR="00521902" w:rsidRPr="00521902" w:rsidTr="00521902">
        <w:tc>
          <w:tcPr>
            <w:tcW w:w="2620" w:type="dxa"/>
          </w:tcPr>
          <w:p w:rsidR="00521902" w:rsidRPr="00200B7F" w:rsidRDefault="00521902">
            <w:pPr>
              <w:rPr>
                <w:b/>
                <w:sz w:val="18"/>
                <w:szCs w:val="18"/>
              </w:rPr>
            </w:pPr>
            <w:r w:rsidRPr="00200B7F">
              <w:rPr>
                <w:b/>
                <w:sz w:val="18"/>
                <w:szCs w:val="18"/>
              </w:rPr>
              <w:t>Contexte politique provincial et thématique de la SRP</w:t>
            </w:r>
          </w:p>
        </w:tc>
        <w:tc>
          <w:tcPr>
            <w:tcW w:w="2620" w:type="dxa"/>
          </w:tcPr>
          <w:p w:rsidR="00521902" w:rsidRPr="00200B7F" w:rsidRDefault="00521902">
            <w:pPr>
              <w:rPr>
                <w:b/>
              </w:rPr>
            </w:pPr>
            <w:r w:rsidRPr="00200B7F">
              <w:rPr>
                <w:b/>
              </w:rPr>
              <w:t>Législation</w:t>
            </w:r>
          </w:p>
        </w:tc>
        <w:tc>
          <w:tcPr>
            <w:tcW w:w="2620" w:type="dxa"/>
          </w:tcPr>
          <w:p w:rsidR="00521902" w:rsidRPr="00200B7F" w:rsidRDefault="00521902">
            <w:pPr>
              <w:rPr>
                <w:b/>
              </w:rPr>
            </w:pPr>
            <w:r w:rsidRPr="00200B7F">
              <w:rPr>
                <w:b/>
              </w:rPr>
              <w:t>Buts et objectifs</w:t>
            </w:r>
          </w:p>
        </w:tc>
        <w:tc>
          <w:tcPr>
            <w:tcW w:w="2620" w:type="dxa"/>
          </w:tcPr>
          <w:p w:rsidR="00521902" w:rsidRPr="00200B7F" w:rsidRDefault="00521902">
            <w:pPr>
              <w:rPr>
                <w:b/>
              </w:rPr>
            </w:pPr>
            <w:r w:rsidRPr="00200B7F">
              <w:rPr>
                <w:b/>
              </w:rPr>
              <w:t>Structure et consultation</w:t>
            </w:r>
          </w:p>
        </w:tc>
        <w:tc>
          <w:tcPr>
            <w:tcW w:w="2620" w:type="dxa"/>
          </w:tcPr>
          <w:p w:rsidR="00521902" w:rsidRPr="00200B7F" w:rsidRDefault="00521902">
            <w:pPr>
              <w:rPr>
                <w:b/>
              </w:rPr>
            </w:pPr>
            <w:r w:rsidRPr="00200B7F">
              <w:rPr>
                <w:b/>
              </w:rPr>
              <w:t>Budget</w:t>
            </w:r>
          </w:p>
        </w:tc>
      </w:tr>
      <w:tr w:rsidR="00521902" w:rsidRPr="00521902" w:rsidTr="00521902">
        <w:tc>
          <w:tcPr>
            <w:tcW w:w="2620" w:type="dxa"/>
          </w:tcPr>
          <w:p w:rsidR="00521902" w:rsidRPr="00521902" w:rsidRDefault="00521902">
            <w:pPr>
              <w:rPr>
                <w:b/>
                <w:sz w:val="32"/>
                <w:szCs w:val="32"/>
              </w:rPr>
            </w:pPr>
            <w:r w:rsidRPr="00521902">
              <w:rPr>
                <w:b/>
                <w:sz w:val="32"/>
                <w:szCs w:val="32"/>
              </w:rPr>
              <w:t>Manitoba</w:t>
            </w:r>
          </w:p>
          <w:p w:rsidR="00521902" w:rsidRDefault="00521902"/>
          <w:p w:rsidR="00521902" w:rsidRDefault="00521902"/>
          <w:p w:rsidR="00521902" w:rsidRPr="00521902" w:rsidRDefault="00521902" w:rsidP="00521902">
            <w:pPr>
              <w:pStyle w:val="NoSpacing"/>
              <w:rPr>
                <w:sz w:val="20"/>
                <w:szCs w:val="20"/>
              </w:rPr>
            </w:pPr>
            <w:r w:rsidRPr="00521902">
              <w:rPr>
                <w:sz w:val="20"/>
                <w:szCs w:val="20"/>
              </w:rPr>
              <w:t xml:space="preserve">Greg </w:t>
            </w:r>
            <w:proofErr w:type="spellStart"/>
            <w:r w:rsidRPr="00521902">
              <w:rPr>
                <w:sz w:val="20"/>
                <w:szCs w:val="20"/>
              </w:rPr>
              <w:t>Selinger</w:t>
            </w:r>
            <w:proofErr w:type="spellEnd"/>
            <w:r w:rsidRPr="00521902">
              <w:rPr>
                <w:sz w:val="20"/>
                <w:szCs w:val="20"/>
              </w:rPr>
              <w:t xml:space="preserve">, Nouveau parti démocratique, est devenu Premier Ministre après la démission de Gary </w:t>
            </w:r>
            <w:proofErr w:type="spellStart"/>
            <w:r w:rsidRPr="00521902">
              <w:rPr>
                <w:sz w:val="20"/>
                <w:szCs w:val="20"/>
              </w:rPr>
              <w:t>Doer</w:t>
            </w:r>
            <w:proofErr w:type="spellEnd"/>
          </w:p>
          <w:p w:rsidR="00521902" w:rsidRDefault="00521902"/>
          <w:p w:rsidR="00521902" w:rsidRPr="00622B46" w:rsidRDefault="00521902">
            <w:pPr>
              <w:rPr>
                <w:b/>
              </w:rPr>
            </w:pPr>
            <w:r w:rsidRPr="00622B46">
              <w:rPr>
                <w:b/>
              </w:rPr>
              <w:t>Tout le monde à bord :</w:t>
            </w:r>
          </w:p>
          <w:p w:rsidR="00521902" w:rsidRPr="00622B46" w:rsidRDefault="00521902">
            <w:pPr>
              <w:rPr>
                <w:b/>
              </w:rPr>
            </w:pPr>
            <w:r w:rsidRPr="00622B46">
              <w:rPr>
                <w:b/>
              </w:rPr>
              <w:t>Stratégie manitobaine de réduction de la pauvreté et de l’inclusion sociale</w:t>
            </w:r>
          </w:p>
          <w:p w:rsidR="00521902" w:rsidRPr="00521902" w:rsidRDefault="00521902"/>
        </w:tc>
        <w:tc>
          <w:tcPr>
            <w:tcW w:w="2620" w:type="dxa"/>
          </w:tcPr>
          <w:p w:rsidR="00521902" w:rsidRDefault="00F01E86" w:rsidP="00F01E86">
            <w:pPr>
              <w:pStyle w:val="NoSpacing"/>
              <w:rPr>
                <w:sz w:val="20"/>
                <w:szCs w:val="20"/>
              </w:rPr>
            </w:pPr>
            <w:r w:rsidRPr="00F01E86">
              <w:rPr>
                <w:i/>
                <w:sz w:val="20"/>
                <w:szCs w:val="20"/>
              </w:rPr>
              <w:t>La Loi sur l’inclusion sociale et la lutte contre la pauvreté (Projet de loi 201)</w:t>
            </w:r>
            <w:r>
              <w:rPr>
                <w:i/>
                <w:sz w:val="20"/>
                <w:szCs w:val="20"/>
              </w:rPr>
              <w:t xml:space="preserve"> </w:t>
            </w:r>
            <w:r w:rsidRPr="00F01E86">
              <w:rPr>
                <w:sz w:val="20"/>
                <w:szCs w:val="20"/>
              </w:rPr>
              <w:t>déposée  par le Parti libéral en 2010 n’a pas été soutenue par le gouvernement NPD</w:t>
            </w:r>
            <w:r>
              <w:rPr>
                <w:sz w:val="20"/>
                <w:szCs w:val="20"/>
              </w:rPr>
              <w:t>,</w:t>
            </w:r>
          </w:p>
          <w:p w:rsidR="00F01E86" w:rsidRDefault="00F01E86" w:rsidP="00F01E86">
            <w:pPr>
              <w:pStyle w:val="NoSpacing"/>
              <w:rPr>
                <w:sz w:val="20"/>
                <w:szCs w:val="20"/>
              </w:rPr>
            </w:pPr>
          </w:p>
          <w:p w:rsidR="00F01E86" w:rsidRDefault="00F01E86" w:rsidP="00F01E86">
            <w:pPr>
              <w:pStyle w:val="NoSpacing"/>
              <w:rPr>
                <w:sz w:val="20"/>
                <w:szCs w:val="20"/>
              </w:rPr>
            </w:pPr>
            <w:r>
              <w:rPr>
                <w:sz w:val="20"/>
                <w:szCs w:val="20"/>
              </w:rPr>
              <w:t xml:space="preserve">En juin 2011, La </w:t>
            </w:r>
            <w:r w:rsidRPr="00F01E86">
              <w:rPr>
                <w:i/>
                <w:sz w:val="20"/>
                <w:szCs w:val="20"/>
              </w:rPr>
              <w:t xml:space="preserve">Loi sur la stratégie de réduction de la pauvreté </w:t>
            </w:r>
            <w:r>
              <w:rPr>
                <w:sz w:val="20"/>
                <w:szCs w:val="20"/>
              </w:rPr>
              <w:t>a été adoptée.</w:t>
            </w:r>
          </w:p>
          <w:p w:rsidR="00F01E86" w:rsidRDefault="00F01E86" w:rsidP="00F01E86">
            <w:pPr>
              <w:pStyle w:val="NoSpacing"/>
              <w:rPr>
                <w:sz w:val="20"/>
                <w:szCs w:val="20"/>
              </w:rPr>
            </w:pPr>
          </w:p>
          <w:p w:rsidR="00F01E86" w:rsidRDefault="00F01E86" w:rsidP="00F01E86">
            <w:pPr>
              <w:pStyle w:val="NoSpacing"/>
              <w:rPr>
                <w:sz w:val="20"/>
                <w:szCs w:val="20"/>
              </w:rPr>
            </w:pPr>
            <w:r>
              <w:rPr>
                <w:sz w:val="20"/>
                <w:szCs w:val="20"/>
              </w:rPr>
              <w:t xml:space="preserve">Crédit d’impôt </w:t>
            </w:r>
            <w:r w:rsidR="0067657F">
              <w:rPr>
                <w:sz w:val="20"/>
                <w:szCs w:val="20"/>
              </w:rPr>
              <w:t xml:space="preserve">pour </w:t>
            </w:r>
            <w:r w:rsidR="001F1C4E">
              <w:rPr>
                <w:sz w:val="20"/>
                <w:szCs w:val="20"/>
              </w:rPr>
              <w:t xml:space="preserve">les </w:t>
            </w:r>
            <w:r w:rsidR="0067657F">
              <w:rPr>
                <w:sz w:val="20"/>
                <w:szCs w:val="20"/>
              </w:rPr>
              <w:t xml:space="preserve">activités artistiques et culturelles </w:t>
            </w:r>
            <w:r w:rsidR="001F1C4E">
              <w:rPr>
                <w:sz w:val="20"/>
                <w:szCs w:val="20"/>
              </w:rPr>
              <w:t xml:space="preserve">des </w:t>
            </w:r>
            <w:r w:rsidR="0067657F">
              <w:rPr>
                <w:sz w:val="20"/>
                <w:szCs w:val="20"/>
              </w:rPr>
              <w:t>enfants handicapés.</w:t>
            </w:r>
          </w:p>
          <w:p w:rsidR="001F1C4E" w:rsidRDefault="001F1C4E" w:rsidP="00F01E86">
            <w:pPr>
              <w:pStyle w:val="NoSpacing"/>
              <w:rPr>
                <w:sz w:val="20"/>
                <w:szCs w:val="20"/>
              </w:rPr>
            </w:pPr>
          </w:p>
          <w:p w:rsidR="001F1C4E" w:rsidRPr="00F01E86" w:rsidRDefault="001F1C4E" w:rsidP="00F01E86">
            <w:pPr>
              <w:pStyle w:val="NoSpacing"/>
              <w:rPr>
                <w:sz w:val="20"/>
                <w:szCs w:val="20"/>
              </w:rPr>
            </w:pPr>
            <w:r w:rsidRPr="001F1C4E">
              <w:rPr>
                <w:i/>
                <w:sz w:val="20"/>
                <w:szCs w:val="20"/>
              </w:rPr>
              <w:t>L’une des plus importantes composantes de ce Projet de loi 47,  est sa réitération des principes d’accessibilité en vertu desquels la prévention et la suppression systémiques des obstacles n’incombent pas aux personnes handicapées</w:t>
            </w:r>
            <w:r>
              <w:rPr>
                <w:sz w:val="20"/>
                <w:szCs w:val="20"/>
              </w:rPr>
              <w:t xml:space="preserve"> (MA13)</w:t>
            </w:r>
          </w:p>
        </w:tc>
        <w:tc>
          <w:tcPr>
            <w:tcW w:w="2620" w:type="dxa"/>
          </w:tcPr>
          <w:p w:rsidR="00521902" w:rsidRDefault="009C50A8" w:rsidP="009C50A8">
            <w:pPr>
              <w:pStyle w:val="NoSpacing"/>
              <w:rPr>
                <w:i/>
                <w:sz w:val="20"/>
                <w:szCs w:val="20"/>
              </w:rPr>
            </w:pPr>
            <w:r w:rsidRPr="009C50A8">
              <w:rPr>
                <w:i/>
                <w:sz w:val="20"/>
                <w:szCs w:val="20"/>
              </w:rPr>
              <w:t xml:space="preserve">Réduire la pauvreté et </w:t>
            </w:r>
            <w:r w:rsidR="00A93A36">
              <w:rPr>
                <w:i/>
                <w:sz w:val="20"/>
                <w:szCs w:val="20"/>
              </w:rPr>
              <w:t xml:space="preserve">accroître </w:t>
            </w:r>
            <w:r w:rsidRPr="009C50A8">
              <w:rPr>
                <w:i/>
                <w:sz w:val="20"/>
                <w:szCs w:val="20"/>
              </w:rPr>
              <w:t xml:space="preserve"> l’inclusion sociale</w:t>
            </w:r>
            <w:r w:rsidR="00A93A36">
              <w:rPr>
                <w:i/>
                <w:sz w:val="20"/>
                <w:szCs w:val="20"/>
              </w:rPr>
              <w:t xml:space="preserve"> de façon continue</w:t>
            </w:r>
            <w:r w:rsidRPr="009C50A8">
              <w:rPr>
                <w:i/>
                <w:sz w:val="20"/>
                <w:szCs w:val="20"/>
              </w:rPr>
              <w:t>.</w:t>
            </w:r>
          </w:p>
          <w:p w:rsidR="009C50A8" w:rsidRDefault="009C50A8" w:rsidP="009C50A8">
            <w:pPr>
              <w:pStyle w:val="NoSpacing"/>
              <w:rPr>
                <w:i/>
                <w:sz w:val="20"/>
                <w:szCs w:val="20"/>
              </w:rPr>
            </w:pPr>
          </w:p>
          <w:p w:rsidR="009C50A8" w:rsidRDefault="009C50A8" w:rsidP="009C50A8">
            <w:pPr>
              <w:pStyle w:val="NoSpacing"/>
              <w:rPr>
                <w:sz w:val="20"/>
                <w:szCs w:val="20"/>
              </w:rPr>
            </w:pPr>
            <w:r w:rsidRPr="00622B46">
              <w:rPr>
                <w:b/>
                <w:sz w:val="20"/>
                <w:szCs w:val="20"/>
              </w:rPr>
              <w:t>Les 4 piliers de la stratégie</w:t>
            </w:r>
            <w:r>
              <w:rPr>
                <w:sz w:val="20"/>
                <w:szCs w:val="20"/>
              </w:rPr>
              <w:t> :</w:t>
            </w:r>
          </w:p>
          <w:p w:rsidR="00622B46" w:rsidRDefault="00622B46" w:rsidP="009C50A8">
            <w:pPr>
              <w:pStyle w:val="NoSpacing"/>
              <w:rPr>
                <w:sz w:val="20"/>
                <w:szCs w:val="20"/>
              </w:rPr>
            </w:pPr>
          </w:p>
          <w:p w:rsidR="009C50A8" w:rsidRDefault="009C50A8" w:rsidP="009C50A8">
            <w:pPr>
              <w:pStyle w:val="NoSpacing"/>
            </w:pPr>
            <w:r>
              <w:t xml:space="preserve">1) </w:t>
            </w:r>
            <w:r w:rsidR="008854BE">
              <w:t>Des l</w:t>
            </w:r>
            <w:r>
              <w:t>ogements sécuritaires à prix abordables dans des communautés offrant du soutien</w:t>
            </w:r>
          </w:p>
          <w:p w:rsidR="009C50A8" w:rsidRDefault="008854BE" w:rsidP="009C50A8">
            <w:pPr>
              <w:pStyle w:val="NoSpacing"/>
            </w:pPr>
            <w:r>
              <w:t>2)</w:t>
            </w:r>
            <w:r w:rsidR="009C50A8">
              <w:t xml:space="preserve"> Aide à l’éducation, à l’emploi et au  revenu</w:t>
            </w:r>
          </w:p>
          <w:p w:rsidR="009C50A8" w:rsidRDefault="008854BE" w:rsidP="009C50A8">
            <w:pPr>
              <w:pStyle w:val="NoSpacing"/>
            </w:pPr>
            <w:r>
              <w:t>3)</w:t>
            </w:r>
            <w:r w:rsidR="009C50A8">
              <w:t xml:space="preserve">  Des familles solides et en santé</w:t>
            </w:r>
          </w:p>
          <w:p w:rsidR="009C50A8" w:rsidRDefault="008854BE" w:rsidP="008854BE">
            <w:pPr>
              <w:pStyle w:val="NoSpacing"/>
            </w:pPr>
            <w:r>
              <w:t>4)</w:t>
            </w:r>
            <w:r w:rsidR="009C50A8">
              <w:t xml:space="preserve"> Des services accessibles et coordonnés</w:t>
            </w:r>
          </w:p>
          <w:p w:rsidR="00D5363D" w:rsidRDefault="00D5363D" w:rsidP="008854BE">
            <w:pPr>
              <w:pStyle w:val="NoSpacing"/>
            </w:pPr>
          </w:p>
          <w:p w:rsidR="00D5363D" w:rsidRPr="002410B4" w:rsidRDefault="00D5363D" w:rsidP="008854BE">
            <w:pPr>
              <w:pStyle w:val="NoSpacing"/>
              <w:rPr>
                <w:sz w:val="20"/>
                <w:szCs w:val="20"/>
              </w:rPr>
            </w:pPr>
            <w:r w:rsidRPr="002410B4">
              <w:rPr>
                <w:sz w:val="20"/>
                <w:szCs w:val="20"/>
              </w:rPr>
              <w:t>285 unités de logements de plus</w:t>
            </w:r>
            <w:r w:rsidR="002410B4" w:rsidRPr="002410B4">
              <w:rPr>
                <w:sz w:val="20"/>
                <w:szCs w:val="20"/>
              </w:rPr>
              <w:t xml:space="preserve">, avec mesures de soutien, </w:t>
            </w:r>
            <w:r w:rsidRPr="002410B4">
              <w:rPr>
                <w:sz w:val="20"/>
                <w:szCs w:val="20"/>
              </w:rPr>
              <w:t xml:space="preserve">  pour personnes ayant des </w:t>
            </w:r>
            <w:r w:rsidR="002410B4" w:rsidRPr="002410B4">
              <w:rPr>
                <w:sz w:val="20"/>
                <w:szCs w:val="20"/>
              </w:rPr>
              <w:t>problèmes de santé mentale.</w:t>
            </w:r>
          </w:p>
        </w:tc>
        <w:tc>
          <w:tcPr>
            <w:tcW w:w="2620" w:type="dxa"/>
          </w:tcPr>
          <w:p w:rsidR="00521902" w:rsidRPr="00A93A36" w:rsidRDefault="00AE166A" w:rsidP="00A93A36">
            <w:pPr>
              <w:pStyle w:val="NoSpacing"/>
              <w:rPr>
                <w:sz w:val="20"/>
                <w:szCs w:val="20"/>
              </w:rPr>
            </w:pPr>
            <w:r w:rsidRPr="00A93A36">
              <w:rPr>
                <w:sz w:val="20"/>
                <w:szCs w:val="20"/>
              </w:rPr>
              <w:t xml:space="preserve">Le Comité </w:t>
            </w:r>
            <w:r w:rsidR="00A93A36" w:rsidRPr="00A93A36">
              <w:rPr>
                <w:sz w:val="20"/>
                <w:szCs w:val="20"/>
              </w:rPr>
              <w:t xml:space="preserve">pour la réduction de la pauvreté et l’inclusion sociale est composé de membres nommés par le Lieutenant-gouverneur en Conseil;  il regroupe des ministres, un membre du Comité consultatif du Premier Ministre sur l’éducation, la pauvreté et la citoyenneté et de trois autres personnes, </w:t>
            </w:r>
            <w:r w:rsidR="004678E2">
              <w:rPr>
                <w:sz w:val="20"/>
                <w:szCs w:val="20"/>
              </w:rPr>
              <w:t xml:space="preserve">nommées </w:t>
            </w:r>
            <w:r w:rsidR="00A93A36" w:rsidRPr="00A93A36">
              <w:rPr>
                <w:sz w:val="20"/>
                <w:szCs w:val="20"/>
              </w:rPr>
              <w:t xml:space="preserve">sur recommandations de </w:t>
            </w:r>
            <w:proofErr w:type="spellStart"/>
            <w:r w:rsidR="00A93A36" w:rsidRPr="00A93A36">
              <w:rPr>
                <w:sz w:val="20"/>
                <w:szCs w:val="20"/>
              </w:rPr>
              <w:t>Centraide</w:t>
            </w:r>
            <w:proofErr w:type="spellEnd"/>
            <w:r w:rsidR="00A93A36" w:rsidRPr="00A93A36">
              <w:rPr>
                <w:sz w:val="20"/>
                <w:szCs w:val="20"/>
              </w:rPr>
              <w:t xml:space="preserve"> Winnipeg (United </w:t>
            </w:r>
            <w:proofErr w:type="spellStart"/>
            <w:r w:rsidR="00A93A36" w:rsidRPr="00A93A36">
              <w:rPr>
                <w:sz w:val="20"/>
                <w:szCs w:val="20"/>
              </w:rPr>
              <w:t>Way</w:t>
            </w:r>
            <w:proofErr w:type="spellEnd"/>
            <w:r w:rsidR="00A93A36" w:rsidRPr="00A93A36">
              <w:rPr>
                <w:sz w:val="20"/>
                <w:szCs w:val="20"/>
              </w:rPr>
              <w:t>).</w:t>
            </w:r>
          </w:p>
          <w:p w:rsidR="00A93A36" w:rsidRDefault="00A93A36" w:rsidP="00A93A36"/>
          <w:p w:rsidR="00A93A36" w:rsidRDefault="00A93A36" w:rsidP="00A93A36">
            <w:pPr>
              <w:pStyle w:val="NoSpacing"/>
              <w:rPr>
                <w:sz w:val="20"/>
                <w:szCs w:val="20"/>
              </w:rPr>
            </w:pPr>
            <w:r w:rsidRPr="00A93A36">
              <w:rPr>
                <w:sz w:val="20"/>
                <w:szCs w:val="20"/>
              </w:rPr>
              <w:t xml:space="preserve">Il est responsable des indicateurs </w:t>
            </w:r>
            <w:r w:rsidR="005A4325">
              <w:rPr>
                <w:sz w:val="20"/>
                <w:szCs w:val="20"/>
              </w:rPr>
              <w:t xml:space="preserve">de </w:t>
            </w:r>
            <w:r w:rsidRPr="00A93A36">
              <w:rPr>
                <w:sz w:val="20"/>
                <w:szCs w:val="20"/>
              </w:rPr>
              <w:t xml:space="preserve"> pauvreté et </w:t>
            </w:r>
            <w:r w:rsidR="005A4325">
              <w:rPr>
                <w:sz w:val="20"/>
                <w:szCs w:val="20"/>
              </w:rPr>
              <w:t xml:space="preserve"> d</w:t>
            </w:r>
            <w:r w:rsidRPr="00A93A36">
              <w:rPr>
                <w:sz w:val="20"/>
                <w:szCs w:val="20"/>
              </w:rPr>
              <w:t>’inclusion sociale ainsi que de surveiller la mise en œuvre de la stratégie.</w:t>
            </w:r>
          </w:p>
          <w:p w:rsidR="00A93A36" w:rsidRDefault="00A93A36" w:rsidP="00A93A36">
            <w:pPr>
              <w:pStyle w:val="NoSpacing"/>
              <w:rPr>
                <w:sz w:val="20"/>
                <w:szCs w:val="20"/>
              </w:rPr>
            </w:pPr>
          </w:p>
          <w:p w:rsidR="00A93A36" w:rsidRPr="00A93A36" w:rsidRDefault="00A93A36" w:rsidP="00A93A36">
            <w:pPr>
              <w:pStyle w:val="NoSpacing"/>
              <w:rPr>
                <w:sz w:val="20"/>
                <w:szCs w:val="20"/>
              </w:rPr>
            </w:pPr>
            <w:r>
              <w:rPr>
                <w:sz w:val="20"/>
                <w:szCs w:val="20"/>
              </w:rPr>
              <w:t>Les activités de consultation sont vagues.  À savoir </w:t>
            </w:r>
            <w:proofErr w:type="gramStart"/>
            <w:r>
              <w:rPr>
                <w:sz w:val="20"/>
                <w:szCs w:val="20"/>
              </w:rPr>
              <w:t>:  «</w:t>
            </w:r>
            <w:proofErr w:type="gramEnd"/>
            <w:r>
              <w:rPr>
                <w:sz w:val="20"/>
                <w:szCs w:val="20"/>
              </w:rPr>
              <w:t>  au cours des prochains mois, des intervenants du milieu seront consultés pour s’assurer de la pertinence de la stratégie. » (MAN01, p.8)</w:t>
            </w:r>
          </w:p>
        </w:tc>
        <w:tc>
          <w:tcPr>
            <w:tcW w:w="2620" w:type="dxa"/>
          </w:tcPr>
          <w:p w:rsidR="00521902" w:rsidRDefault="00622B46" w:rsidP="00622B46">
            <w:pPr>
              <w:rPr>
                <w:sz w:val="20"/>
                <w:szCs w:val="20"/>
              </w:rPr>
            </w:pPr>
            <w:r w:rsidRPr="00622B46">
              <w:rPr>
                <w:sz w:val="20"/>
                <w:szCs w:val="20"/>
              </w:rPr>
              <w:t xml:space="preserve">Lorsque la stratégie a été adoptée, le Manitoba a </w:t>
            </w:r>
            <w:r>
              <w:rPr>
                <w:sz w:val="20"/>
                <w:szCs w:val="20"/>
              </w:rPr>
              <w:t>annoncé</w:t>
            </w:r>
            <w:r w:rsidRPr="00622B46">
              <w:rPr>
                <w:sz w:val="20"/>
                <w:szCs w:val="20"/>
              </w:rPr>
              <w:t> : 744 millions de dollars, incluant 212 millions de dollars en nouveaux fonds (MA08, p.1)</w:t>
            </w:r>
          </w:p>
          <w:p w:rsidR="00622B46" w:rsidRDefault="00622B46" w:rsidP="00622B46">
            <w:pPr>
              <w:rPr>
                <w:sz w:val="20"/>
                <w:szCs w:val="20"/>
              </w:rPr>
            </w:pPr>
          </w:p>
          <w:p w:rsidR="00622B46" w:rsidRDefault="00622B46" w:rsidP="00622B46">
            <w:pPr>
              <w:rPr>
                <w:sz w:val="20"/>
                <w:szCs w:val="20"/>
              </w:rPr>
            </w:pPr>
            <w:r>
              <w:rPr>
                <w:sz w:val="20"/>
                <w:szCs w:val="20"/>
              </w:rPr>
              <w:t xml:space="preserve">Budget 2009 : 327 millions de dollars sur deux ans en logements sociaux (incluant 100 millions du </w:t>
            </w:r>
            <w:proofErr w:type="spellStart"/>
            <w:r>
              <w:rPr>
                <w:sz w:val="20"/>
                <w:szCs w:val="20"/>
              </w:rPr>
              <w:t>gouv</w:t>
            </w:r>
            <w:proofErr w:type="spellEnd"/>
            <w:r>
              <w:rPr>
                <w:sz w:val="20"/>
                <w:szCs w:val="20"/>
              </w:rPr>
              <w:t xml:space="preserve">. </w:t>
            </w:r>
            <w:proofErr w:type="spellStart"/>
            <w:r>
              <w:rPr>
                <w:sz w:val="20"/>
                <w:szCs w:val="20"/>
              </w:rPr>
              <w:t>féd</w:t>
            </w:r>
            <w:proofErr w:type="spellEnd"/>
            <w:r>
              <w:rPr>
                <w:sz w:val="20"/>
                <w:szCs w:val="20"/>
              </w:rPr>
              <w:t>.) (MA08, p.1)</w:t>
            </w:r>
          </w:p>
          <w:p w:rsidR="00622B46" w:rsidRDefault="00622B46" w:rsidP="00622B46">
            <w:pPr>
              <w:rPr>
                <w:sz w:val="20"/>
                <w:szCs w:val="20"/>
              </w:rPr>
            </w:pPr>
          </w:p>
          <w:p w:rsidR="00FC0F05" w:rsidRDefault="00FC0F05" w:rsidP="00622B46">
            <w:pPr>
              <w:rPr>
                <w:sz w:val="20"/>
                <w:szCs w:val="20"/>
              </w:rPr>
            </w:pPr>
            <w:r>
              <w:rPr>
                <w:sz w:val="20"/>
                <w:szCs w:val="20"/>
              </w:rPr>
              <w:t xml:space="preserve">Subvention pour le programme Rebond par le biais de la </w:t>
            </w:r>
            <w:r w:rsidR="008B4D6B">
              <w:rPr>
                <w:sz w:val="20"/>
                <w:szCs w:val="20"/>
              </w:rPr>
              <w:t>« Stratégie canadienne de transition et d’acquisition des compétences » (MA08, p.3)</w:t>
            </w:r>
          </w:p>
          <w:p w:rsidR="008B4D6B" w:rsidRDefault="008B4D6B" w:rsidP="00622B46">
            <w:pPr>
              <w:rPr>
                <w:sz w:val="20"/>
                <w:szCs w:val="20"/>
              </w:rPr>
            </w:pPr>
          </w:p>
          <w:p w:rsidR="008B4D6B" w:rsidRPr="00622B46" w:rsidRDefault="008B4D6B" w:rsidP="00622B46">
            <w:pPr>
              <w:rPr>
                <w:sz w:val="20"/>
                <w:szCs w:val="20"/>
              </w:rPr>
            </w:pPr>
            <w:r>
              <w:rPr>
                <w:sz w:val="20"/>
                <w:szCs w:val="20"/>
              </w:rPr>
              <w:t>« Versement initial » de 30 millions de dollars (y compris les contributions fédérales) pour accroître l’accessibilité des logements et intensifier l’accès de la population aux édifices publics, l’aide aux enfants handicapés dans les garderies, etc…(MA08,p.4)</w:t>
            </w:r>
          </w:p>
        </w:tc>
      </w:tr>
    </w:tbl>
    <w:p w:rsidR="00521902" w:rsidRDefault="00521902"/>
    <w:p w:rsidR="00374D4D" w:rsidRDefault="00374D4D" w:rsidP="00374D4D">
      <w:pPr>
        <w:rPr>
          <w:b/>
        </w:rPr>
      </w:pPr>
    </w:p>
    <w:p w:rsidR="00BA5D04" w:rsidRDefault="00BA5D04" w:rsidP="00374D4D">
      <w:pPr>
        <w:rPr>
          <w:b/>
        </w:rPr>
      </w:pPr>
    </w:p>
    <w:p w:rsidR="00374D4D" w:rsidRPr="003E099E" w:rsidRDefault="00374D4D" w:rsidP="00374D4D">
      <w:pPr>
        <w:rPr>
          <w:b/>
        </w:rPr>
      </w:pPr>
      <w:r w:rsidRPr="003E099E">
        <w:rPr>
          <w:b/>
        </w:rPr>
        <w:lastRenderedPageBreak/>
        <w:t>Annexe 1 – Principes fondamentaux de la SRP</w:t>
      </w:r>
    </w:p>
    <w:tbl>
      <w:tblPr>
        <w:tblStyle w:val="TableGrid"/>
        <w:tblW w:w="13291" w:type="dxa"/>
        <w:tblLook w:val="04A0" w:firstRow="1" w:lastRow="0" w:firstColumn="1" w:lastColumn="0" w:noHBand="0" w:noVBand="1"/>
      </w:tblPr>
      <w:tblGrid>
        <w:gridCol w:w="2376"/>
        <w:gridCol w:w="2864"/>
        <w:gridCol w:w="2381"/>
        <w:gridCol w:w="2693"/>
        <w:gridCol w:w="2977"/>
      </w:tblGrid>
      <w:tr w:rsidR="006567BF" w:rsidRPr="00521902" w:rsidTr="006567BF">
        <w:tc>
          <w:tcPr>
            <w:tcW w:w="2376" w:type="dxa"/>
          </w:tcPr>
          <w:p w:rsidR="00374D4D" w:rsidRPr="00200B7F" w:rsidRDefault="00374D4D" w:rsidP="009D07DF">
            <w:pPr>
              <w:rPr>
                <w:b/>
                <w:sz w:val="18"/>
                <w:szCs w:val="18"/>
              </w:rPr>
            </w:pPr>
            <w:r w:rsidRPr="00200B7F">
              <w:rPr>
                <w:b/>
                <w:sz w:val="18"/>
                <w:szCs w:val="18"/>
              </w:rPr>
              <w:t>Contexte politique provincial et thématique de la SRP</w:t>
            </w:r>
          </w:p>
        </w:tc>
        <w:tc>
          <w:tcPr>
            <w:tcW w:w="2864" w:type="dxa"/>
          </w:tcPr>
          <w:p w:rsidR="00374D4D" w:rsidRPr="00200B7F" w:rsidRDefault="00374D4D" w:rsidP="009D07DF">
            <w:pPr>
              <w:rPr>
                <w:b/>
              </w:rPr>
            </w:pPr>
            <w:r w:rsidRPr="00200B7F">
              <w:rPr>
                <w:b/>
              </w:rPr>
              <w:t>Législation</w:t>
            </w:r>
          </w:p>
        </w:tc>
        <w:tc>
          <w:tcPr>
            <w:tcW w:w="2381" w:type="dxa"/>
          </w:tcPr>
          <w:p w:rsidR="00374D4D" w:rsidRPr="00200B7F" w:rsidRDefault="00374D4D" w:rsidP="009D07DF">
            <w:pPr>
              <w:rPr>
                <w:b/>
              </w:rPr>
            </w:pPr>
            <w:r w:rsidRPr="00200B7F">
              <w:rPr>
                <w:b/>
              </w:rPr>
              <w:t>Buts et objectifs</w:t>
            </w:r>
          </w:p>
        </w:tc>
        <w:tc>
          <w:tcPr>
            <w:tcW w:w="2693" w:type="dxa"/>
          </w:tcPr>
          <w:p w:rsidR="00374D4D" w:rsidRPr="00200B7F" w:rsidRDefault="00374D4D" w:rsidP="009D07DF">
            <w:pPr>
              <w:rPr>
                <w:b/>
              </w:rPr>
            </w:pPr>
            <w:r w:rsidRPr="00200B7F">
              <w:rPr>
                <w:b/>
              </w:rPr>
              <w:t>Structure et consultation</w:t>
            </w:r>
          </w:p>
        </w:tc>
        <w:tc>
          <w:tcPr>
            <w:tcW w:w="2977" w:type="dxa"/>
          </w:tcPr>
          <w:p w:rsidR="00374D4D" w:rsidRPr="00200B7F" w:rsidRDefault="00374D4D" w:rsidP="009D07DF">
            <w:pPr>
              <w:rPr>
                <w:b/>
              </w:rPr>
            </w:pPr>
            <w:r w:rsidRPr="00200B7F">
              <w:rPr>
                <w:b/>
              </w:rPr>
              <w:t>Budget</w:t>
            </w:r>
          </w:p>
        </w:tc>
      </w:tr>
      <w:tr w:rsidR="006567BF" w:rsidRPr="00521902" w:rsidTr="006567BF">
        <w:tc>
          <w:tcPr>
            <w:tcW w:w="2376" w:type="dxa"/>
          </w:tcPr>
          <w:p w:rsidR="00374D4D" w:rsidRDefault="00374D4D" w:rsidP="009D07DF">
            <w:r>
              <w:rPr>
                <w:b/>
                <w:sz w:val="32"/>
                <w:szCs w:val="32"/>
              </w:rPr>
              <w:t>NOUVEAU BRUNSWICK</w:t>
            </w:r>
          </w:p>
          <w:p w:rsidR="00374D4D" w:rsidRDefault="00374D4D" w:rsidP="009D07DF"/>
          <w:p w:rsidR="00374D4D" w:rsidRDefault="00374D4D" w:rsidP="00374D4D">
            <w:pPr>
              <w:rPr>
                <w:sz w:val="20"/>
                <w:szCs w:val="20"/>
              </w:rPr>
            </w:pPr>
            <w:r>
              <w:rPr>
                <w:sz w:val="20"/>
                <w:szCs w:val="20"/>
              </w:rPr>
              <w:t xml:space="preserve">David </w:t>
            </w:r>
            <w:proofErr w:type="spellStart"/>
            <w:r>
              <w:rPr>
                <w:sz w:val="20"/>
                <w:szCs w:val="20"/>
              </w:rPr>
              <w:t>Alward</w:t>
            </w:r>
            <w:proofErr w:type="spellEnd"/>
          </w:p>
          <w:p w:rsidR="00374D4D" w:rsidRDefault="00374D4D" w:rsidP="00374D4D">
            <w:pPr>
              <w:rPr>
                <w:sz w:val="20"/>
                <w:szCs w:val="20"/>
              </w:rPr>
            </w:pPr>
            <w:r>
              <w:rPr>
                <w:sz w:val="20"/>
                <w:szCs w:val="20"/>
              </w:rPr>
              <w:t>Progressiste conservateur</w:t>
            </w:r>
          </w:p>
          <w:p w:rsidR="00374D4D" w:rsidRDefault="00374D4D" w:rsidP="00374D4D">
            <w:pPr>
              <w:rPr>
                <w:sz w:val="20"/>
                <w:szCs w:val="20"/>
              </w:rPr>
            </w:pPr>
          </w:p>
          <w:p w:rsidR="00374D4D" w:rsidRPr="002551FD" w:rsidRDefault="00374D4D" w:rsidP="00374D4D">
            <w:pPr>
              <w:rPr>
                <w:b/>
                <w:i/>
                <w:sz w:val="20"/>
                <w:szCs w:val="20"/>
              </w:rPr>
            </w:pPr>
            <w:r w:rsidRPr="002551FD">
              <w:rPr>
                <w:b/>
                <w:i/>
                <w:sz w:val="20"/>
                <w:szCs w:val="20"/>
              </w:rPr>
              <w:t>Ensemble pour vaincre la pauvreté </w:t>
            </w:r>
            <w:proofErr w:type="gramStart"/>
            <w:r w:rsidRPr="002551FD">
              <w:rPr>
                <w:b/>
                <w:i/>
                <w:sz w:val="20"/>
                <w:szCs w:val="20"/>
              </w:rPr>
              <w:t>:  le</w:t>
            </w:r>
            <w:proofErr w:type="gramEnd"/>
            <w:r w:rsidRPr="002551FD">
              <w:rPr>
                <w:b/>
                <w:i/>
                <w:sz w:val="20"/>
                <w:szCs w:val="20"/>
              </w:rPr>
              <w:t xml:space="preserve"> nouveau plan d’inclusion économique et sociale.</w:t>
            </w:r>
          </w:p>
          <w:p w:rsidR="00374D4D" w:rsidRDefault="00374D4D" w:rsidP="00374D4D">
            <w:pPr>
              <w:rPr>
                <w:sz w:val="20"/>
                <w:szCs w:val="20"/>
              </w:rPr>
            </w:pPr>
          </w:p>
          <w:p w:rsidR="00374D4D" w:rsidRPr="00374D4D" w:rsidRDefault="00374D4D" w:rsidP="007D3824">
            <w:pPr>
              <w:rPr>
                <w:sz w:val="20"/>
                <w:szCs w:val="20"/>
              </w:rPr>
            </w:pPr>
            <w:r>
              <w:rPr>
                <w:sz w:val="20"/>
                <w:szCs w:val="20"/>
              </w:rPr>
              <w:t>« </w:t>
            </w:r>
            <w:r w:rsidR="007D3824">
              <w:rPr>
                <w:i/>
                <w:sz w:val="20"/>
                <w:szCs w:val="20"/>
              </w:rPr>
              <w:t>Ê</w:t>
            </w:r>
            <w:r w:rsidRPr="002551FD">
              <w:rPr>
                <w:i/>
                <w:sz w:val="20"/>
                <w:szCs w:val="20"/>
              </w:rPr>
              <w:t xml:space="preserve">tre, </w:t>
            </w:r>
            <w:r w:rsidR="007D3824">
              <w:rPr>
                <w:i/>
                <w:sz w:val="20"/>
                <w:szCs w:val="20"/>
              </w:rPr>
              <w:t>D</w:t>
            </w:r>
            <w:r w:rsidRPr="002551FD">
              <w:rPr>
                <w:i/>
                <w:sz w:val="20"/>
                <w:szCs w:val="20"/>
              </w:rPr>
              <w:t xml:space="preserve">evenir, </w:t>
            </w:r>
            <w:r w:rsidR="007D3824">
              <w:rPr>
                <w:i/>
                <w:sz w:val="20"/>
                <w:szCs w:val="20"/>
              </w:rPr>
              <w:t>Appartenir</w:t>
            </w:r>
            <w:r>
              <w:rPr>
                <w:sz w:val="20"/>
                <w:szCs w:val="20"/>
              </w:rPr>
              <w:t>. »</w:t>
            </w:r>
          </w:p>
        </w:tc>
        <w:tc>
          <w:tcPr>
            <w:tcW w:w="2864" w:type="dxa"/>
          </w:tcPr>
          <w:p w:rsidR="00374D4D" w:rsidRDefault="002551FD" w:rsidP="009D07DF">
            <w:pPr>
              <w:pStyle w:val="NoSpacing"/>
              <w:rPr>
                <w:sz w:val="20"/>
                <w:szCs w:val="20"/>
              </w:rPr>
            </w:pPr>
            <w:r w:rsidRPr="002551FD">
              <w:rPr>
                <w:i/>
                <w:sz w:val="20"/>
                <w:szCs w:val="20"/>
              </w:rPr>
              <w:t>Loi sur l’inclusion économique et sociale</w:t>
            </w:r>
            <w:r>
              <w:rPr>
                <w:sz w:val="20"/>
                <w:szCs w:val="20"/>
              </w:rPr>
              <w:t>, 16 avril 2010.</w:t>
            </w:r>
          </w:p>
          <w:p w:rsidR="002551FD" w:rsidRDefault="002551FD" w:rsidP="009D07DF">
            <w:pPr>
              <w:pStyle w:val="NoSpacing"/>
              <w:rPr>
                <w:sz w:val="20"/>
                <w:szCs w:val="20"/>
              </w:rPr>
            </w:pPr>
          </w:p>
          <w:p w:rsidR="002551FD" w:rsidRDefault="002551FD" w:rsidP="009D07DF">
            <w:pPr>
              <w:pStyle w:val="NoSpacing"/>
              <w:rPr>
                <w:sz w:val="20"/>
                <w:szCs w:val="20"/>
              </w:rPr>
            </w:pPr>
            <w:r w:rsidRPr="002551FD">
              <w:rPr>
                <w:i/>
                <w:sz w:val="20"/>
                <w:szCs w:val="20"/>
              </w:rPr>
              <w:t>Loi sur la location de locaux d’habitation</w:t>
            </w:r>
            <w:r>
              <w:rPr>
                <w:sz w:val="20"/>
                <w:szCs w:val="20"/>
              </w:rPr>
              <w:t xml:space="preserve"> – modifications de 2011.</w:t>
            </w:r>
          </w:p>
          <w:p w:rsidR="002551FD" w:rsidRDefault="002551FD" w:rsidP="009D07DF">
            <w:pPr>
              <w:pStyle w:val="NoSpacing"/>
              <w:rPr>
                <w:sz w:val="20"/>
                <w:szCs w:val="20"/>
              </w:rPr>
            </w:pPr>
          </w:p>
          <w:p w:rsidR="002551FD" w:rsidRPr="006567BF" w:rsidRDefault="002551FD" w:rsidP="009D07DF">
            <w:pPr>
              <w:pStyle w:val="NoSpacing"/>
              <w:rPr>
                <w:sz w:val="18"/>
                <w:szCs w:val="18"/>
              </w:rPr>
            </w:pPr>
            <w:r w:rsidRPr="006567BF">
              <w:rPr>
                <w:sz w:val="18"/>
                <w:szCs w:val="18"/>
              </w:rPr>
              <w:t xml:space="preserve">Modifications à </w:t>
            </w:r>
            <w:r w:rsidRPr="006567BF">
              <w:rPr>
                <w:i/>
                <w:sz w:val="18"/>
                <w:szCs w:val="18"/>
              </w:rPr>
              <w:t xml:space="preserve">la Loi sur les </w:t>
            </w:r>
            <w:r w:rsidR="007D3824" w:rsidRPr="006567BF">
              <w:rPr>
                <w:i/>
                <w:sz w:val="18"/>
                <w:szCs w:val="18"/>
              </w:rPr>
              <w:t xml:space="preserve">procédures </w:t>
            </w:r>
            <w:r w:rsidRPr="006567BF">
              <w:rPr>
                <w:i/>
                <w:sz w:val="18"/>
                <w:szCs w:val="18"/>
              </w:rPr>
              <w:t xml:space="preserve"> con</w:t>
            </w:r>
            <w:r w:rsidR="005D026B" w:rsidRPr="006567BF">
              <w:rPr>
                <w:i/>
                <w:sz w:val="18"/>
                <w:szCs w:val="18"/>
              </w:rPr>
              <w:t xml:space="preserve">tre la Couronne et à la Loi relative aux relations de travail dans les services publics </w:t>
            </w:r>
            <w:r w:rsidR="005D026B" w:rsidRPr="006567BF">
              <w:rPr>
                <w:sz w:val="18"/>
                <w:szCs w:val="18"/>
              </w:rPr>
              <w:t>– définitions modifiées pour enchâsser «  l’inclusion économique et sociale, la capacité d’une personne de participer pleinement aux activités économiques et sociales de la société. »</w:t>
            </w:r>
          </w:p>
          <w:p w:rsidR="005D026B" w:rsidRPr="006567BF" w:rsidRDefault="005D026B" w:rsidP="009D07DF">
            <w:pPr>
              <w:pStyle w:val="NoSpacing"/>
              <w:rPr>
                <w:sz w:val="18"/>
                <w:szCs w:val="18"/>
              </w:rPr>
            </w:pPr>
          </w:p>
          <w:p w:rsidR="005D026B" w:rsidRPr="00F01E86" w:rsidRDefault="005D026B" w:rsidP="009D07DF">
            <w:pPr>
              <w:pStyle w:val="NoSpacing"/>
              <w:rPr>
                <w:sz w:val="20"/>
                <w:szCs w:val="20"/>
              </w:rPr>
            </w:pPr>
            <w:r w:rsidRPr="006567BF">
              <w:rPr>
                <w:sz w:val="18"/>
                <w:szCs w:val="18"/>
              </w:rPr>
              <w:t xml:space="preserve">Élaboration de la </w:t>
            </w:r>
            <w:r w:rsidRPr="006567BF">
              <w:rPr>
                <w:i/>
                <w:sz w:val="18"/>
                <w:szCs w:val="18"/>
              </w:rPr>
              <w:t>nouvelle Loi sur les services à la petite enfance</w:t>
            </w:r>
            <w:r w:rsidRPr="006567BF">
              <w:rPr>
                <w:sz w:val="18"/>
                <w:szCs w:val="18"/>
              </w:rPr>
              <w:t xml:space="preserve"> (NB03, p.8)</w:t>
            </w:r>
          </w:p>
        </w:tc>
        <w:tc>
          <w:tcPr>
            <w:tcW w:w="2381" w:type="dxa"/>
          </w:tcPr>
          <w:p w:rsidR="00374D4D" w:rsidRPr="00A27C0D" w:rsidRDefault="005D026B" w:rsidP="009D07DF">
            <w:pPr>
              <w:pStyle w:val="NoSpacing"/>
              <w:rPr>
                <w:rFonts w:cs="Myriad Pro"/>
                <w:color w:val="000000"/>
                <w:sz w:val="20"/>
                <w:szCs w:val="20"/>
              </w:rPr>
            </w:pPr>
            <w:r w:rsidRPr="00A27C0D">
              <w:rPr>
                <w:rFonts w:cs="Myriad Pro"/>
                <w:color w:val="000000"/>
                <w:sz w:val="20"/>
                <w:szCs w:val="20"/>
              </w:rPr>
              <w:t>D’ici 2015, le Nouveau-Brunswick parviendra à réduire la pauvreté monétaire de 25 p.100 et la pauvret</w:t>
            </w:r>
            <w:r w:rsidR="007D3824" w:rsidRPr="00A27C0D">
              <w:rPr>
                <w:rFonts w:cs="Myriad Pro"/>
                <w:color w:val="000000"/>
                <w:sz w:val="20"/>
                <w:szCs w:val="20"/>
              </w:rPr>
              <w:t>é monétaire extrême de 50 p.100.</w:t>
            </w:r>
          </w:p>
          <w:p w:rsidR="007D3824" w:rsidRPr="00A27C0D" w:rsidRDefault="007D3824" w:rsidP="009D07DF">
            <w:pPr>
              <w:pStyle w:val="NoSpacing"/>
              <w:rPr>
                <w:rFonts w:cs="Myriad Pro"/>
                <w:color w:val="000000"/>
                <w:sz w:val="20"/>
                <w:szCs w:val="20"/>
              </w:rPr>
            </w:pPr>
          </w:p>
          <w:p w:rsidR="007D3824" w:rsidRPr="007D3824" w:rsidRDefault="007D3824" w:rsidP="007D3824">
            <w:pPr>
              <w:pStyle w:val="NoSpacing"/>
            </w:pPr>
            <w:r w:rsidRPr="007D3824">
              <w:rPr>
                <w:b/>
              </w:rPr>
              <w:t>Des changements se produisent dans quatre grands domaines</w:t>
            </w:r>
            <w:r w:rsidRPr="007D3824">
              <w:t xml:space="preserve"> : </w:t>
            </w:r>
          </w:p>
          <w:p w:rsidR="007D3824" w:rsidRPr="007D3824" w:rsidRDefault="007D3824" w:rsidP="007D3824">
            <w:pPr>
              <w:pStyle w:val="NoSpacing"/>
            </w:pPr>
            <w:r w:rsidRPr="007D3824">
              <w:t xml:space="preserve">1. Politiques </w:t>
            </w:r>
          </w:p>
          <w:p w:rsidR="007D3824" w:rsidRPr="007D3824" w:rsidRDefault="007D3824" w:rsidP="007D3824">
            <w:pPr>
              <w:pStyle w:val="NoSpacing"/>
            </w:pPr>
            <w:r w:rsidRPr="007D3824">
              <w:t xml:space="preserve">2. Programmes </w:t>
            </w:r>
          </w:p>
          <w:p w:rsidR="007D3824" w:rsidRPr="007D3824" w:rsidRDefault="007D3824" w:rsidP="007D3824">
            <w:pPr>
              <w:pStyle w:val="NoSpacing"/>
            </w:pPr>
            <w:r w:rsidRPr="007D3824">
              <w:t xml:space="preserve">3. Prestation des services </w:t>
            </w:r>
          </w:p>
          <w:p w:rsidR="007D3824" w:rsidRPr="002410B4" w:rsidRDefault="007D3824" w:rsidP="007D3824">
            <w:pPr>
              <w:pStyle w:val="NoSpacing"/>
            </w:pPr>
            <w:r w:rsidRPr="007D3824">
              <w:t>4. Responsabilité commune</w:t>
            </w:r>
          </w:p>
        </w:tc>
        <w:tc>
          <w:tcPr>
            <w:tcW w:w="2693" w:type="dxa"/>
          </w:tcPr>
          <w:p w:rsidR="00374D4D" w:rsidRPr="00A27C0D" w:rsidRDefault="007D3824" w:rsidP="009D07DF">
            <w:pPr>
              <w:pStyle w:val="NoSpacing"/>
              <w:rPr>
                <w:sz w:val="18"/>
                <w:szCs w:val="18"/>
              </w:rPr>
            </w:pPr>
            <w:r w:rsidRPr="00A27C0D">
              <w:rPr>
                <w:sz w:val="18"/>
                <w:szCs w:val="18"/>
              </w:rPr>
              <w:t>Création de la Société d’inclusion économique et sociale.  Son Conseil d’administration est dirigé par le secteur des entreprises, le secteur à but non lucratif, le gouvernement et une personne ayant vécu dans la pauvreté.</w:t>
            </w:r>
          </w:p>
          <w:p w:rsidR="007D3824" w:rsidRPr="00A27C0D" w:rsidRDefault="007D3824" w:rsidP="009D07DF">
            <w:pPr>
              <w:pStyle w:val="NoSpacing"/>
              <w:rPr>
                <w:sz w:val="18"/>
                <w:szCs w:val="18"/>
              </w:rPr>
            </w:pPr>
          </w:p>
          <w:p w:rsidR="007D3824" w:rsidRPr="00A27C0D" w:rsidRDefault="007D3824" w:rsidP="009D07DF">
            <w:pPr>
              <w:pStyle w:val="NoSpacing"/>
              <w:rPr>
                <w:sz w:val="18"/>
                <w:szCs w:val="18"/>
              </w:rPr>
            </w:pPr>
            <w:r w:rsidRPr="00A27C0D">
              <w:rPr>
                <w:sz w:val="18"/>
                <w:szCs w:val="18"/>
              </w:rPr>
              <w:t>Le Fond</w:t>
            </w:r>
            <w:r w:rsidR="00306DB0">
              <w:rPr>
                <w:sz w:val="18"/>
                <w:szCs w:val="18"/>
              </w:rPr>
              <w:t>s</w:t>
            </w:r>
            <w:r w:rsidRPr="00A27C0D">
              <w:rPr>
                <w:sz w:val="18"/>
                <w:szCs w:val="18"/>
              </w:rPr>
              <w:t xml:space="preserve"> de l’inclusion économique et sociale versera </w:t>
            </w:r>
            <w:r w:rsidR="009A4382" w:rsidRPr="00A27C0D">
              <w:rPr>
                <w:sz w:val="18"/>
                <w:szCs w:val="18"/>
              </w:rPr>
              <w:t>des subventions aux réseaux d’inclusion pour les aider à réaliser les objectifs du plan provincial.</w:t>
            </w:r>
          </w:p>
          <w:p w:rsidR="009A4382" w:rsidRPr="00A27C0D" w:rsidRDefault="009A4382" w:rsidP="009D07DF">
            <w:pPr>
              <w:pStyle w:val="NoSpacing"/>
              <w:rPr>
                <w:sz w:val="18"/>
                <w:szCs w:val="18"/>
              </w:rPr>
            </w:pPr>
          </w:p>
          <w:p w:rsidR="009A4382" w:rsidRPr="00A27C0D" w:rsidRDefault="00A27C0D" w:rsidP="009D07DF">
            <w:pPr>
              <w:pStyle w:val="NoSpacing"/>
              <w:rPr>
                <w:sz w:val="20"/>
                <w:szCs w:val="20"/>
              </w:rPr>
            </w:pPr>
            <w:r w:rsidRPr="00A27C0D">
              <w:rPr>
                <w:sz w:val="20"/>
                <w:szCs w:val="20"/>
              </w:rPr>
              <w:t>3</w:t>
            </w:r>
            <w:r w:rsidR="009A4382" w:rsidRPr="00A27C0D">
              <w:rPr>
                <w:sz w:val="20"/>
                <w:szCs w:val="20"/>
              </w:rPr>
              <w:t xml:space="preserve"> phases de consultation :</w:t>
            </w:r>
          </w:p>
          <w:p w:rsidR="009A4382" w:rsidRPr="00A27C0D" w:rsidRDefault="009A4382" w:rsidP="009D07DF">
            <w:pPr>
              <w:pStyle w:val="NoSpacing"/>
              <w:rPr>
                <w:sz w:val="20"/>
                <w:szCs w:val="20"/>
              </w:rPr>
            </w:pPr>
            <w:r w:rsidRPr="00A27C0D">
              <w:rPr>
                <w:sz w:val="20"/>
                <w:szCs w:val="20"/>
              </w:rPr>
              <w:t>1</w:t>
            </w:r>
            <w:r w:rsidRPr="00A27C0D">
              <w:rPr>
                <w:sz w:val="20"/>
                <w:szCs w:val="20"/>
                <w:vertAlign w:val="superscript"/>
              </w:rPr>
              <w:t>ère</w:t>
            </w:r>
            <w:r w:rsidRPr="00A27C0D">
              <w:rPr>
                <w:sz w:val="20"/>
                <w:szCs w:val="20"/>
              </w:rPr>
              <w:t xml:space="preserve"> phase de janv. à avril 2009</w:t>
            </w:r>
            <w:r w:rsidR="00A27C0D" w:rsidRPr="00A27C0D">
              <w:rPr>
                <w:sz w:val="20"/>
                <w:szCs w:val="20"/>
              </w:rPr>
              <w:t> </w:t>
            </w:r>
            <w:proofErr w:type="gramStart"/>
            <w:r w:rsidR="00A27C0D" w:rsidRPr="00A27C0D">
              <w:rPr>
                <w:sz w:val="20"/>
                <w:szCs w:val="20"/>
              </w:rPr>
              <w:t>:  2</w:t>
            </w:r>
            <w:proofErr w:type="gramEnd"/>
            <w:r w:rsidR="00A27C0D" w:rsidRPr="00A27C0D">
              <w:rPr>
                <w:sz w:val="20"/>
                <w:szCs w:val="20"/>
              </w:rPr>
              <w:t xml:space="preserve"> 500 personnes ont participé à 16 séances face à face de dialogue ;</w:t>
            </w:r>
          </w:p>
          <w:p w:rsidR="00A27C0D" w:rsidRPr="00A27C0D" w:rsidRDefault="00A27C0D" w:rsidP="00A27C0D">
            <w:pPr>
              <w:pStyle w:val="NoSpacing"/>
              <w:rPr>
                <w:sz w:val="20"/>
                <w:szCs w:val="20"/>
              </w:rPr>
            </w:pPr>
            <w:r w:rsidRPr="00A27C0D">
              <w:rPr>
                <w:sz w:val="20"/>
                <w:szCs w:val="20"/>
              </w:rPr>
              <w:t>Sondages également </w:t>
            </w:r>
            <w:proofErr w:type="gramStart"/>
            <w:r w:rsidRPr="00A27C0D">
              <w:rPr>
                <w:sz w:val="20"/>
                <w:szCs w:val="20"/>
              </w:rPr>
              <w:t>:  Résultat</w:t>
            </w:r>
            <w:proofErr w:type="gramEnd"/>
            <w:r w:rsidRPr="00A27C0D">
              <w:rPr>
                <w:sz w:val="20"/>
                <w:szCs w:val="20"/>
              </w:rPr>
              <w:t xml:space="preserve"> : </w:t>
            </w:r>
            <w:r w:rsidRPr="00A27C0D">
              <w:rPr>
                <w:i/>
                <w:sz w:val="20"/>
                <w:szCs w:val="20"/>
              </w:rPr>
              <w:t>Un cœur de voix :  Ce qui a été dit (NB07).</w:t>
            </w:r>
            <w:r w:rsidRPr="00A27C0D">
              <w:rPr>
                <w:sz w:val="20"/>
                <w:szCs w:val="20"/>
              </w:rPr>
              <w:t xml:space="preserve">  2</w:t>
            </w:r>
            <w:r w:rsidRPr="00A27C0D">
              <w:rPr>
                <w:sz w:val="20"/>
                <w:szCs w:val="20"/>
                <w:vertAlign w:val="superscript"/>
              </w:rPr>
              <w:t>ème</w:t>
            </w:r>
            <w:r w:rsidRPr="00A27C0D">
              <w:rPr>
                <w:sz w:val="20"/>
                <w:szCs w:val="20"/>
              </w:rPr>
              <w:t xml:space="preserve"> phase </w:t>
            </w:r>
            <w:proofErr w:type="gramStart"/>
            <w:r w:rsidRPr="00A27C0D">
              <w:rPr>
                <w:sz w:val="20"/>
                <w:szCs w:val="20"/>
              </w:rPr>
              <w:t>:  tables</w:t>
            </w:r>
            <w:proofErr w:type="gramEnd"/>
            <w:r w:rsidRPr="00A27C0D">
              <w:rPr>
                <w:sz w:val="20"/>
                <w:szCs w:val="20"/>
              </w:rPr>
              <w:t xml:space="preserve"> rondes de juin à sept 2009 – 30 participants- Les options proposées ont été répertoriées dans le Résumé des options.</w:t>
            </w:r>
          </w:p>
          <w:p w:rsidR="00A27C0D" w:rsidRPr="00A93A36" w:rsidRDefault="00A27C0D" w:rsidP="00A27C0D">
            <w:pPr>
              <w:pStyle w:val="NoSpacing"/>
              <w:rPr>
                <w:sz w:val="20"/>
                <w:szCs w:val="20"/>
              </w:rPr>
            </w:pPr>
            <w:r w:rsidRPr="00A27C0D">
              <w:rPr>
                <w:sz w:val="20"/>
                <w:szCs w:val="20"/>
              </w:rPr>
              <w:t>3</w:t>
            </w:r>
            <w:r w:rsidRPr="00A27C0D">
              <w:rPr>
                <w:sz w:val="20"/>
                <w:szCs w:val="20"/>
                <w:vertAlign w:val="superscript"/>
              </w:rPr>
              <w:t>ème</w:t>
            </w:r>
            <w:r w:rsidRPr="00A27C0D">
              <w:rPr>
                <w:sz w:val="20"/>
                <w:szCs w:val="20"/>
              </w:rPr>
              <w:t xml:space="preserve"> phase </w:t>
            </w:r>
            <w:proofErr w:type="gramStart"/>
            <w:r w:rsidRPr="00A27C0D">
              <w:rPr>
                <w:sz w:val="20"/>
                <w:szCs w:val="20"/>
              </w:rPr>
              <w:t>:  forum</w:t>
            </w:r>
            <w:proofErr w:type="gramEnd"/>
            <w:r w:rsidRPr="00A27C0D">
              <w:rPr>
                <w:sz w:val="20"/>
                <w:szCs w:val="20"/>
              </w:rPr>
              <w:t xml:space="preserve"> avec 47 chefs de file du Nouveau Brunswick</w:t>
            </w:r>
          </w:p>
        </w:tc>
        <w:tc>
          <w:tcPr>
            <w:tcW w:w="2977" w:type="dxa"/>
          </w:tcPr>
          <w:p w:rsidR="00374D4D" w:rsidRPr="006567BF" w:rsidRDefault="006E6F00" w:rsidP="009D07DF">
            <w:pPr>
              <w:rPr>
                <w:sz w:val="18"/>
                <w:szCs w:val="18"/>
              </w:rPr>
            </w:pPr>
            <w:r w:rsidRPr="006567BF">
              <w:rPr>
                <w:sz w:val="18"/>
                <w:szCs w:val="18"/>
              </w:rPr>
              <w:t>Manque de transparence quant à la présentation du budget.  En effet, le plus récent budget présenté par le gouvernement était axé sur la réduction du déficit.</w:t>
            </w:r>
          </w:p>
          <w:p w:rsidR="006E6F00" w:rsidRPr="006567BF" w:rsidRDefault="006E6F00" w:rsidP="009D07DF">
            <w:pPr>
              <w:rPr>
                <w:sz w:val="18"/>
                <w:szCs w:val="18"/>
              </w:rPr>
            </w:pPr>
          </w:p>
          <w:p w:rsidR="00306DB0" w:rsidRPr="006567BF" w:rsidRDefault="006E6F00" w:rsidP="009D07DF">
            <w:pPr>
              <w:rPr>
                <w:sz w:val="18"/>
                <w:szCs w:val="18"/>
              </w:rPr>
            </w:pPr>
            <w:r w:rsidRPr="006567BF">
              <w:rPr>
                <w:sz w:val="18"/>
                <w:szCs w:val="18"/>
              </w:rPr>
              <w:t>Faits saillants du budget 2011 :</w:t>
            </w:r>
          </w:p>
          <w:p w:rsidR="00306DB0" w:rsidRPr="006567BF" w:rsidRDefault="00306DB0" w:rsidP="00306DB0">
            <w:pPr>
              <w:rPr>
                <w:sz w:val="18"/>
                <w:szCs w:val="18"/>
              </w:rPr>
            </w:pPr>
            <w:r w:rsidRPr="006567BF">
              <w:rPr>
                <w:sz w:val="18"/>
                <w:szCs w:val="18"/>
              </w:rPr>
              <w:t xml:space="preserve">La Société d’inclusion économique et sociale a reçu 1,8 millions de dollars (comme en 2010);  le financement des services de logement a été réduit, passant de 98,7 millions de $ à 92,8 millions de $.  30 millions de dollars ont été alloués à la création d’emplois dans le nord du NB (contributions et prêts) et 7,1 millions de $ au Fonds de création d’emplois régionaux de </w:t>
            </w:r>
            <w:proofErr w:type="spellStart"/>
            <w:r w:rsidRPr="006567BF">
              <w:rPr>
                <w:sz w:val="18"/>
                <w:szCs w:val="18"/>
              </w:rPr>
              <w:t>Miramichi</w:t>
            </w:r>
            <w:proofErr w:type="spellEnd"/>
            <w:r w:rsidRPr="006567BF">
              <w:rPr>
                <w:sz w:val="18"/>
                <w:szCs w:val="18"/>
              </w:rPr>
              <w:t>.</w:t>
            </w:r>
            <w:r w:rsidR="00087DE7" w:rsidRPr="006567BF">
              <w:rPr>
                <w:sz w:val="18"/>
                <w:szCs w:val="18"/>
              </w:rPr>
              <w:t xml:space="preserve"> </w:t>
            </w:r>
          </w:p>
          <w:p w:rsidR="00087DE7" w:rsidRPr="006567BF" w:rsidRDefault="00087DE7" w:rsidP="00306DB0">
            <w:pPr>
              <w:rPr>
                <w:sz w:val="18"/>
                <w:szCs w:val="18"/>
              </w:rPr>
            </w:pPr>
          </w:p>
          <w:p w:rsidR="00306DB0" w:rsidRPr="006567BF" w:rsidRDefault="00306DB0" w:rsidP="00306DB0">
            <w:pPr>
              <w:rPr>
                <w:sz w:val="18"/>
                <w:szCs w:val="18"/>
              </w:rPr>
            </w:pPr>
            <w:r w:rsidRPr="006567BF">
              <w:rPr>
                <w:sz w:val="18"/>
                <w:szCs w:val="18"/>
              </w:rPr>
              <w:t>La sécurité du revenu a augmenté de 231,5 à 254,7 millions de $.  Le budget des soins de longue durée et de la protection de l’enfance a</w:t>
            </w:r>
            <w:r w:rsidR="006E6F00" w:rsidRPr="006567BF">
              <w:rPr>
                <w:sz w:val="18"/>
                <w:szCs w:val="18"/>
              </w:rPr>
              <w:t xml:space="preserve"> </w:t>
            </w:r>
            <w:r w:rsidRPr="006567BF">
              <w:rPr>
                <w:sz w:val="18"/>
                <w:szCs w:val="18"/>
              </w:rPr>
              <w:t>augmenté jusqu’à</w:t>
            </w:r>
          </w:p>
          <w:p w:rsidR="006E6F00" w:rsidRPr="006567BF" w:rsidRDefault="00306DB0" w:rsidP="00306DB0">
            <w:pPr>
              <w:rPr>
                <w:sz w:val="18"/>
                <w:szCs w:val="18"/>
              </w:rPr>
            </w:pPr>
            <w:r w:rsidRPr="006567BF">
              <w:rPr>
                <w:sz w:val="18"/>
                <w:szCs w:val="18"/>
              </w:rPr>
              <w:t xml:space="preserve"> 130,7 millions de $.</w:t>
            </w:r>
          </w:p>
          <w:p w:rsidR="00306DB0" w:rsidRPr="006567BF" w:rsidRDefault="00306DB0" w:rsidP="00306DB0">
            <w:pPr>
              <w:rPr>
                <w:sz w:val="18"/>
                <w:szCs w:val="18"/>
              </w:rPr>
            </w:pPr>
          </w:p>
          <w:p w:rsidR="00306DB0" w:rsidRPr="006567BF" w:rsidRDefault="00306DB0" w:rsidP="00306DB0">
            <w:pPr>
              <w:rPr>
                <w:sz w:val="18"/>
                <w:szCs w:val="18"/>
              </w:rPr>
            </w:pPr>
            <w:r w:rsidRPr="006567BF">
              <w:rPr>
                <w:sz w:val="18"/>
                <w:szCs w:val="18"/>
              </w:rPr>
              <w:t xml:space="preserve">Lors de la présentation du budget, il a été question (a) d’un financement initial pour un plan </w:t>
            </w:r>
            <w:r w:rsidR="00087DE7" w:rsidRPr="006567BF">
              <w:rPr>
                <w:sz w:val="18"/>
                <w:szCs w:val="18"/>
              </w:rPr>
              <w:t>pour la santé mentale; (b) une augmentation des bourses ciblées pour aider les étudiants provenant de familles à faible revenu; (c) un financement accru de 50 à 100 $ pour les fournitures scolaires pour les familles à faible revenu  (NB03, p.25)</w:t>
            </w:r>
          </w:p>
        </w:tc>
      </w:tr>
    </w:tbl>
    <w:p w:rsidR="00BA5D04" w:rsidRDefault="00BA5D04" w:rsidP="00C70CC9">
      <w:pPr>
        <w:rPr>
          <w:b/>
        </w:rPr>
      </w:pPr>
    </w:p>
    <w:p w:rsidR="00C70CC9" w:rsidRPr="003E099E" w:rsidRDefault="00C70CC9" w:rsidP="00C70CC9">
      <w:pPr>
        <w:rPr>
          <w:b/>
        </w:rPr>
      </w:pPr>
      <w:r w:rsidRPr="003E099E">
        <w:rPr>
          <w:b/>
        </w:rPr>
        <w:t>Annexe 1 – Principes fondamentaux de la SRP</w:t>
      </w:r>
    </w:p>
    <w:tbl>
      <w:tblPr>
        <w:tblStyle w:val="TableGrid"/>
        <w:tblW w:w="0" w:type="auto"/>
        <w:tblLook w:val="04A0" w:firstRow="1" w:lastRow="0" w:firstColumn="1" w:lastColumn="0" w:noHBand="0" w:noVBand="1"/>
      </w:tblPr>
      <w:tblGrid>
        <w:gridCol w:w="2338"/>
        <w:gridCol w:w="2485"/>
        <w:gridCol w:w="2500"/>
        <w:gridCol w:w="2633"/>
        <w:gridCol w:w="3220"/>
      </w:tblGrid>
      <w:tr w:rsidR="00F96EA8" w:rsidRPr="00521902" w:rsidTr="006567BF">
        <w:tc>
          <w:tcPr>
            <w:tcW w:w="2376" w:type="dxa"/>
          </w:tcPr>
          <w:p w:rsidR="00C70CC9" w:rsidRPr="00200B7F" w:rsidRDefault="00C70CC9" w:rsidP="009D07DF">
            <w:pPr>
              <w:rPr>
                <w:b/>
                <w:sz w:val="18"/>
                <w:szCs w:val="18"/>
              </w:rPr>
            </w:pPr>
            <w:r w:rsidRPr="00200B7F">
              <w:rPr>
                <w:b/>
                <w:sz w:val="18"/>
                <w:szCs w:val="18"/>
              </w:rPr>
              <w:t>Contexte politique provincial et thématique de la SRP</w:t>
            </w:r>
          </w:p>
        </w:tc>
        <w:tc>
          <w:tcPr>
            <w:tcW w:w="2552" w:type="dxa"/>
          </w:tcPr>
          <w:p w:rsidR="00C70CC9" w:rsidRPr="00200B7F" w:rsidRDefault="00C70CC9" w:rsidP="009D07DF">
            <w:pPr>
              <w:rPr>
                <w:b/>
              </w:rPr>
            </w:pPr>
            <w:r w:rsidRPr="00200B7F">
              <w:rPr>
                <w:b/>
              </w:rPr>
              <w:t>Législation</w:t>
            </w:r>
          </w:p>
        </w:tc>
        <w:tc>
          <w:tcPr>
            <w:tcW w:w="2551" w:type="dxa"/>
          </w:tcPr>
          <w:p w:rsidR="00C70CC9" w:rsidRPr="00200B7F" w:rsidRDefault="00C70CC9" w:rsidP="009D07DF">
            <w:pPr>
              <w:rPr>
                <w:b/>
              </w:rPr>
            </w:pPr>
            <w:r w:rsidRPr="00200B7F">
              <w:rPr>
                <w:b/>
              </w:rPr>
              <w:t>Buts et objectifs</w:t>
            </w:r>
          </w:p>
        </w:tc>
        <w:tc>
          <w:tcPr>
            <w:tcW w:w="2694" w:type="dxa"/>
          </w:tcPr>
          <w:p w:rsidR="00C70CC9" w:rsidRPr="00200B7F" w:rsidRDefault="00C70CC9" w:rsidP="009D07DF">
            <w:pPr>
              <w:rPr>
                <w:b/>
              </w:rPr>
            </w:pPr>
            <w:r w:rsidRPr="00200B7F">
              <w:rPr>
                <w:b/>
              </w:rPr>
              <w:t>Structure et consultation</w:t>
            </w:r>
          </w:p>
        </w:tc>
        <w:tc>
          <w:tcPr>
            <w:tcW w:w="2927" w:type="dxa"/>
          </w:tcPr>
          <w:p w:rsidR="00C70CC9" w:rsidRPr="00200B7F" w:rsidRDefault="00C70CC9" w:rsidP="009D07DF">
            <w:pPr>
              <w:rPr>
                <w:b/>
              </w:rPr>
            </w:pPr>
            <w:r w:rsidRPr="00200B7F">
              <w:rPr>
                <w:b/>
              </w:rPr>
              <w:t>Budget</w:t>
            </w:r>
          </w:p>
        </w:tc>
      </w:tr>
      <w:tr w:rsidR="00F96EA8" w:rsidRPr="00521902" w:rsidTr="006567BF">
        <w:tc>
          <w:tcPr>
            <w:tcW w:w="2376" w:type="dxa"/>
          </w:tcPr>
          <w:p w:rsidR="00C70CC9" w:rsidRDefault="00C70CC9" w:rsidP="009D07DF">
            <w:r>
              <w:rPr>
                <w:b/>
                <w:sz w:val="32"/>
                <w:szCs w:val="32"/>
              </w:rPr>
              <w:t>TERRE-NEUVE ET LABRADOR</w:t>
            </w:r>
          </w:p>
          <w:p w:rsidR="00C70CC9" w:rsidRDefault="00C70CC9" w:rsidP="009D07DF"/>
          <w:p w:rsidR="00C70CC9" w:rsidRDefault="00E0202E" w:rsidP="009D07DF">
            <w:pPr>
              <w:rPr>
                <w:sz w:val="20"/>
                <w:szCs w:val="20"/>
              </w:rPr>
            </w:pPr>
            <w:r>
              <w:rPr>
                <w:sz w:val="20"/>
                <w:szCs w:val="20"/>
              </w:rPr>
              <w:t>Kathy</w:t>
            </w:r>
            <w:r w:rsidR="007615CA">
              <w:rPr>
                <w:sz w:val="20"/>
                <w:szCs w:val="20"/>
              </w:rPr>
              <w:t xml:space="preserve"> </w:t>
            </w:r>
            <w:proofErr w:type="spellStart"/>
            <w:r w:rsidR="007615CA">
              <w:rPr>
                <w:sz w:val="20"/>
                <w:szCs w:val="20"/>
              </w:rPr>
              <w:t>Dunderdale</w:t>
            </w:r>
            <w:proofErr w:type="spellEnd"/>
            <w:r w:rsidR="007615CA">
              <w:rPr>
                <w:sz w:val="20"/>
                <w:szCs w:val="20"/>
              </w:rPr>
              <w:t xml:space="preserve"> est devenue Première Ministre en décembre 2010 lorsque Danny Williams a pris sa retraite.</w:t>
            </w:r>
          </w:p>
          <w:p w:rsidR="00C70CC9" w:rsidRDefault="00C70CC9" w:rsidP="009D07DF">
            <w:pPr>
              <w:rPr>
                <w:sz w:val="20"/>
                <w:szCs w:val="20"/>
              </w:rPr>
            </w:pPr>
          </w:p>
          <w:p w:rsidR="00C70CC9" w:rsidRDefault="00C70CC9" w:rsidP="009D07DF">
            <w:pPr>
              <w:rPr>
                <w:sz w:val="20"/>
                <w:szCs w:val="20"/>
              </w:rPr>
            </w:pPr>
            <w:r>
              <w:rPr>
                <w:sz w:val="20"/>
                <w:szCs w:val="20"/>
              </w:rPr>
              <w:t>Progressiste conservateur</w:t>
            </w:r>
          </w:p>
          <w:p w:rsidR="00C70CC9" w:rsidRDefault="00C70CC9" w:rsidP="009D07DF">
            <w:pPr>
              <w:rPr>
                <w:sz w:val="20"/>
                <w:szCs w:val="20"/>
              </w:rPr>
            </w:pPr>
          </w:p>
          <w:p w:rsidR="00C70CC9" w:rsidRDefault="00C70CC9" w:rsidP="009D07DF">
            <w:pPr>
              <w:rPr>
                <w:sz w:val="20"/>
                <w:szCs w:val="20"/>
              </w:rPr>
            </w:pPr>
          </w:p>
          <w:p w:rsidR="00C70CC9" w:rsidRPr="007615CA" w:rsidRDefault="00C70CC9" w:rsidP="009D07DF">
            <w:pPr>
              <w:rPr>
                <w:b/>
                <w:sz w:val="20"/>
                <w:szCs w:val="20"/>
              </w:rPr>
            </w:pPr>
            <w:r w:rsidRPr="007615CA">
              <w:rPr>
                <w:b/>
                <w:sz w:val="20"/>
                <w:szCs w:val="20"/>
              </w:rPr>
              <w:t>Aider les gens à se prendre en main</w:t>
            </w:r>
          </w:p>
          <w:p w:rsidR="00C70CC9" w:rsidRPr="007615CA" w:rsidRDefault="00C70CC9" w:rsidP="009D07DF">
            <w:pPr>
              <w:rPr>
                <w:b/>
                <w:sz w:val="20"/>
                <w:szCs w:val="20"/>
              </w:rPr>
            </w:pPr>
            <w:r w:rsidRPr="007615CA">
              <w:rPr>
                <w:b/>
                <w:sz w:val="20"/>
                <w:szCs w:val="20"/>
              </w:rPr>
              <w:t>Engager les communautés</w:t>
            </w:r>
          </w:p>
          <w:p w:rsidR="00C70CC9" w:rsidRPr="00374D4D" w:rsidRDefault="00C70CC9" w:rsidP="00C70CC9">
            <w:pPr>
              <w:rPr>
                <w:sz w:val="20"/>
                <w:szCs w:val="20"/>
              </w:rPr>
            </w:pPr>
            <w:r w:rsidRPr="007615CA">
              <w:rPr>
                <w:b/>
                <w:sz w:val="20"/>
                <w:szCs w:val="20"/>
              </w:rPr>
              <w:t>Favoriser le succès</w:t>
            </w:r>
          </w:p>
        </w:tc>
        <w:tc>
          <w:tcPr>
            <w:tcW w:w="2552" w:type="dxa"/>
          </w:tcPr>
          <w:p w:rsidR="00C70CC9" w:rsidRPr="00F96EA8" w:rsidRDefault="00C70CC9" w:rsidP="009D07DF">
            <w:pPr>
              <w:pStyle w:val="NoSpacing"/>
              <w:rPr>
                <w:sz w:val="20"/>
                <w:szCs w:val="20"/>
              </w:rPr>
            </w:pPr>
            <w:r w:rsidRPr="00F96EA8">
              <w:rPr>
                <w:i/>
                <w:sz w:val="20"/>
                <w:szCs w:val="20"/>
              </w:rPr>
              <w:t xml:space="preserve">Loi sur </w:t>
            </w:r>
            <w:r w:rsidR="007615CA" w:rsidRPr="00F96EA8">
              <w:rPr>
                <w:i/>
                <w:sz w:val="20"/>
                <w:szCs w:val="20"/>
              </w:rPr>
              <w:t>la transparence et la responsabilité financières, 2006</w:t>
            </w:r>
            <w:r w:rsidRPr="00F96EA8">
              <w:rPr>
                <w:sz w:val="20"/>
                <w:szCs w:val="20"/>
              </w:rPr>
              <w:t>.</w:t>
            </w:r>
          </w:p>
          <w:p w:rsidR="00C70CC9" w:rsidRPr="00F96EA8" w:rsidRDefault="00C70CC9" w:rsidP="009D07DF">
            <w:pPr>
              <w:pStyle w:val="NoSpacing"/>
              <w:rPr>
                <w:sz w:val="20"/>
                <w:szCs w:val="20"/>
              </w:rPr>
            </w:pPr>
          </w:p>
          <w:p w:rsidR="007615CA" w:rsidRPr="00F96EA8" w:rsidRDefault="00C70CC9" w:rsidP="007615CA">
            <w:pPr>
              <w:pStyle w:val="NoSpacing"/>
              <w:rPr>
                <w:sz w:val="20"/>
                <w:szCs w:val="20"/>
              </w:rPr>
            </w:pPr>
            <w:r w:rsidRPr="00F96EA8">
              <w:rPr>
                <w:i/>
                <w:sz w:val="20"/>
                <w:szCs w:val="20"/>
              </w:rPr>
              <w:t xml:space="preserve">Loi </w:t>
            </w:r>
            <w:r w:rsidR="007615CA" w:rsidRPr="00F96EA8">
              <w:rPr>
                <w:i/>
                <w:sz w:val="20"/>
                <w:szCs w:val="20"/>
              </w:rPr>
              <w:t xml:space="preserve">de l’impôt sur le revenu, modifiée en 2011 pour inclure le crédit d’impôt pour enfants. </w:t>
            </w:r>
            <w:r w:rsidRPr="00F96EA8">
              <w:rPr>
                <w:i/>
                <w:sz w:val="20"/>
                <w:szCs w:val="20"/>
              </w:rPr>
              <w:t xml:space="preserve"> </w:t>
            </w:r>
          </w:p>
          <w:p w:rsidR="00C70CC9" w:rsidRPr="00F01E86" w:rsidRDefault="00C70CC9" w:rsidP="009D07DF">
            <w:pPr>
              <w:pStyle w:val="NoSpacing"/>
              <w:rPr>
                <w:sz w:val="20"/>
                <w:szCs w:val="20"/>
              </w:rPr>
            </w:pPr>
          </w:p>
        </w:tc>
        <w:tc>
          <w:tcPr>
            <w:tcW w:w="2551" w:type="dxa"/>
          </w:tcPr>
          <w:p w:rsidR="00C70CC9" w:rsidRDefault="00415AD7" w:rsidP="00415AD7">
            <w:pPr>
              <w:pStyle w:val="NoSpacing"/>
              <w:rPr>
                <w:rFonts w:cs="Myriad Pro"/>
                <w:color w:val="000000"/>
                <w:sz w:val="20"/>
                <w:szCs w:val="20"/>
              </w:rPr>
            </w:pPr>
            <w:r>
              <w:rPr>
                <w:rFonts w:cs="Myriad Pro"/>
                <w:color w:val="000000"/>
                <w:sz w:val="20"/>
                <w:szCs w:val="20"/>
              </w:rPr>
              <w:t>Ê</w:t>
            </w:r>
            <w:r w:rsidR="007615CA">
              <w:rPr>
                <w:rFonts w:cs="Myriad Pro"/>
                <w:color w:val="000000"/>
                <w:sz w:val="20"/>
                <w:szCs w:val="20"/>
              </w:rPr>
              <w:t>tre</w:t>
            </w:r>
            <w:r>
              <w:rPr>
                <w:rFonts w:cs="Myriad Pro"/>
                <w:color w:val="000000"/>
                <w:sz w:val="20"/>
                <w:szCs w:val="20"/>
              </w:rPr>
              <w:t xml:space="preserve">, d’ici 2014, </w:t>
            </w:r>
            <w:r w:rsidR="007615CA">
              <w:rPr>
                <w:rFonts w:cs="Myriad Pro"/>
                <w:color w:val="000000"/>
                <w:sz w:val="20"/>
                <w:szCs w:val="20"/>
              </w:rPr>
              <w:t xml:space="preserve"> la province</w:t>
            </w:r>
            <w:r>
              <w:rPr>
                <w:rFonts w:cs="Myriad Pro"/>
                <w:color w:val="000000"/>
                <w:sz w:val="20"/>
                <w:szCs w:val="20"/>
              </w:rPr>
              <w:t xml:space="preserve"> ayant  le plus bas taux de pauvreté.</w:t>
            </w:r>
          </w:p>
          <w:p w:rsidR="00415AD7" w:rsidRDefault="00415AD7" w:rsidP="00415AD7">
            <w:pPr>
              <w:pStyle w:val="NoSpacing"/>
              <w:rPr>
                <w:rFonts w:cs="Myriad Pro"/>
                <w:color w:val="000000"/>
                <w:sz w:val="20"/>
                <w:szCs w:val="20"/>
              </w:rPr>
            </w:pPr>
          </w:p>
          <w:p w:rsidR="00415AD7" w:rsidRPr="00415AD7" w:rsidRDefault="00B83B41" w:rsidP="00B83B41">
            <w:pPr>
              <w:pStyle w:val="NoSpacing"/>
              <w:rPr>
                <w:b/>
              </w:rPr>
            </w:pPr>
            <w:r>
              <w:rPr>
                <w:b/>
              </w:rPr>
              <w:t xml:space="preserve">5  </w:t>
            </w:r>
            <w:r w:rsidR="00415AD7" w:rsidRPr="00415AD7">
              <w:rPr>
                <w:b/>
              </w:rPr>
              <w:t xml:space="preserve">objectifs : </w:t>
            </w:r>
          </w:p>
          <w:p w:rsidR="00415AD7" w:rsidRPr="00415AD7" w:rsidRDefault="00B83B41" w:rsidP="00B83B41">
            <w:pPr>
              <w:pStyle w:val="NoSpacing"/>
              <w:rPr>
                <w:rFonts w:cs="Arial"/>
                <w:sz w:val="24"/>
                <w:szCs w:val="24"/>
              </w:rPr>
            </w:pPr>
            <w:r>
              <w:t xml:space="preserve">1) </w:t>
            </w:r>
            <w:r w:rsidR="00415AD7" w:rsidRPr="00415AD7">
              <w:t xml:space="preserve">Améliorer l’accès aux </w:t>
            </w:r>
            <w:r w:rsidR="00415AD7">
              <w:t xml:space="preserve"> </w:t>
            </w:r>
            <w:r w:rsidR="00415AD7" w:rsidRPr="00415AD7">
              <w:t>services pour les personnes à faible revenu et la coordination de ces services.</w:t>
            </w:r>
          </w:p>
          <w:p w:rsidR="00415AD7" w:rsidRPr="00415AD7" w:rsidRDefault="00B83B41" w:rsidP="00B83B41">
            <w:pPr>
              <w:pStyle w:val="NoSpacing"/>
            </w:pPr>
            <w:r>
              <w:t xml:space="preserve">2) Renforcer le filet de </w:t>
            </w:r>
            <w:r w:rsidR="00415AD7" w:rsidRPr="00415AD7">
              <w:t>sécurité sociale.</w:t>
            </w:r>
          </w:p>
          <w:p w:rsidR="00415AD7" w:rsidRPr="00415AD7" w:rsidRDefault="00B83B41" w:rsidP="00B83B41">
            <w:pPr>
              <w:pStyle w:val="NoSpacing"/>
            </w:pPr>
            <w:r>
              <w:t xml:space="preserve">3) </w:t>
            </w:r>
            <w:r w:rsidR="00415AD7" w:rsidRPr="00415AD7">
              <w:t>M</w:t>
            </w:r>
            <w:r>
              <w:t xml:space="preserve">ettre davantage l’accent sur </w:t>
            </w:r>
            <w:r w:rsidR="00415AD7" w:rsidRPr="00415AD7">
              <w:t xml:space="preserve"> développement de la petite enfance.</w:t>
            </w:r>
          </w:p>
          <w:p w:rsidR="00415AD7" w:rsidRPr="00415AD7" w:rsidRDefault="00B83B41" w:rsidP="00B83B41">
            <w:pPr>
              <w:pStyle w:val="NoSpacing"/>
            </w:pPr>
            <w:r>
              <w:t>4)</w:t>
            </w:r>
            <w:r w:rsidR="006567BF">
              <w:t xml:space="preserve">  </w:t>
            </w:r>
            <w:r>
              <w:t xml:space="preserve">Améliorer </w:t>
            </w:r>
            <w:r w:rsidR="00415AD7" w:rsidRPr="00415AD7">
              <w:t>le niveau d’</w:t>
            </w:r>
            <w:r>
              <w:t xml:space="preserve">éducation </w:t>
            </w:r>
            <w:r w:rsidR="00415AD7" w:rsidRPr="00415AD7">
              <w:t>de la population</w:t>
            </w:r>
            <w:r w:rsidR="00415AD7">
              <w:t>.</w:t>
            </w:r>
            <w:r w:rsidR="00415AD7" w:rsidRPr="00415AD7">
              <w:t xml:space="preserve"> </w:t>
            </w:r>
          </w:p>
          <w:p w:rsidR="00415AD7" w:rsidRPr="002410B4" w:rsidRDefault="00415AD7" w:rsidP="00415AD7">
            <w:pPr>
              <w:pStyle w:val="NoSpacing"/>
            </w:pPr>
          </w:p>
        </w:tc>
        <w:tc>
          <w:tcPr>
            <w:tcW w:w="2694" w:type="dxa"/>
          </w:tcPr>
          <w:p w:rsidR="00C70CC9" w:rsidRPr="006567BF" w:rsidRDefault="006567BF" w:rsidP="009D07DF">
            <w:pPr>
              <w:pStyle w:val="NoSpacing"/>
              <w:rPr>
                <w:sz w:val="18"/>
                <w:szCs w:val="18"/>
              </w:rPr>
            </w:pPr>
            <w:r w:rsidRPr="006567BF">
              <w:rPr>
                <w:sz w:val="18"/>
                <w:szCs w:val="18"/>
              </w:rPr>
              <w:t>La di</w:t>
            </w:r>
            <w:r w:rsidR="00B83B41" w:rsidRPr="006567BF">
              <w:rPr>
                <w:sz w:val="18"/>
                <w:szCs w:val="18"/>
              </w:rPr>
              <w:t xml:space="preserve">rection pour la réduction de la pauvreté s’assure que les personnes vivant dans la pauvreté soient prises en compte lors de l’élaboration de nouvelles politiques et de programmes </w:t>
            </w:r>
            <w:proofErr w:type="spellStart"/>
            <w:r w:rsidR="00B83B41" w:rsidRPr="006567BF">
              <w:rPr>
                <w:sz w:val="18"/>
                <w:szCs w:val="18"/>
              </w:rPr>
              <w:t>pan-gouvernementaux</w:t>
            </w:r>
            <w:proofErr w:type="spellEnd"/>
            <w:r w:rsidR="00B83B41" w:rsidRPr="006567BF">
              <w:rPr>
                <w:sz w:val="18"/>
                <w:szCs w:val="18"/>
              </w:rPr>
              <w:t>.</w:t>
            </w:r>
          </w:p>
          <w:p w:rsidR="00B83B41" w:rsidRPr="006567BF" w:rsidRDefault="00B83B41" w:rsidP="009D07DF">
            <w:pPr>
              <w:pStyle w:val="NoSpacing"/>
              <w:rPr>
                <w:sz w:val="18"/>
                <w:szCs w:val="18"/>
              </w:rPr>
            </w:pPr>
          </w:p>
          <w:p w:rsidR="00B83B41" w:rsidRPr="006567BF" w:rsidRDefault="00B83B41" w:rsidP="009D07DF">
            <w:pPr>
              <w:pStyle w:val="NoSpacing"/>
              <w:rPr>
                <w:sz w:val="18"/>
                <w:szCs w:val="18"/>
              </w:rPr>
            </w:pPr>
            <w:r w:rsidRPr="006567BF">
              <w:rPr>
                <w:sz w:val="18"/>
                <w:szCs w:val="18"/>
              </w:rPr>
              <w:t xml:space="preserve">La stratégie est supervisée par un Comité composé de 12 ministres, par un Comité de sous-ministres et par un Groupe de travail interministériel. </w:t>
            </w:r>
          </w:p>
          <w:p w:rsidR="006567BF" w:rsidRPr="006567BF" w:rsidRDefault="006567BF" w:rsidP="009D07DF">
            <w:pPr>
              <w:pStyle w:val="NoSpacing"/>
              <w:rPr>
                <w:sz w:val="18"/>
                <w:szCs w:val="18"/>
              </w:rPr>
            </w:pPr>
          </w:p>
          <w:p w:rsidR="00B83B41" w:rsidRDefault="006567BF" w:rsidP="006567BF">
            <w:pPr>
              <w:pStyle w:val="NoSpacing"/>
              <w:rPr>
                <w:sz w:val="18"/>
                <w:szCs w:val="18"/>
              </w:rPr>
            </w:pPr>
            <w:r w:rsidRPr="006567BF">
              <w:rPr>
                <w:sz w:val="18"/>
                <w:szCs w:val="18"/>
              </w:rPr>
              <w:t>Le Comité des ministres assume le leadership afin de s’assurer que des solutions globales soient financées et mises en vigueur.  La Direction</w:t>
            </w:r>
            <w:r>
              <w:rPr>
                <w:sz w:val="18"/>
                <w:szCs w:val="18"/>
              </w:rPr>
              <w:t xml:space="preserve"> aide les ministères à analyser l’impact de leurs décisions et de leurs programmes sur les personnes et les familles à faible revenu et offre des solutions pour  d’éventuels problèmes.</w:t>
            </w:r>
          </w:p>
          <w:p w:rsidR="006567BF" w:rsidRDefault="006567BF" w:rsidP="006567BF">
            <w:pPr>
              <w:pStyle w:val="NoSpacing"/>
              <w:rPr>
                <w:sz w:val="18"/>
                <w:szCs w:val="18"/>
              </w:rPr>
            </w:pPr>
          </w:p>
          <w:p w:rsidR="006567BF" w:rsidRPr="006567BF" w:rsidRDefault="006567BF" w:rsidP="006567BF">
            <w:pPr>
              <w:pStyle w:val="NoSpacing"/>
              <w:rPr>
                <w:sz w:val="18"/>
                <w:szCs w:val="18"/>
              </w:rPr>
            </w:pPr>
            <w:r w:rsidRPr="006567BF">
              <w:rPr>
                <w:sz w:val="18"/>
                <w:szCs w:val="18"/>
              </w:rPr>
              <w:t>La 2</w:t>
            </w:r>
            <w:r w:rsidRPr="006567BF">
              <w:rPr>
                <w:sz w:val="18"/>
                <w:szCs w:val="18"/>
                <w:vertAlign w:val="superscript"/>
              </w:rPr>
              <w:t>ème</w:t>
            </w:r>
            <w:r w:rsidRPr="006567BF">
              <w:rPr>
                <w:sz w:val="18"/>
                <w:szCs w:val="18"/>
              </w:rPr>
              <w:t xml:space="preserve"> ronde d’intenses consultations communautaires a  pris fin en 2010.  </w:t>
            </w:r>
          </w:p>
        </w:tc>
        <w:tc>
          <w:tcPr>
            <w:tcW w:w="2927" w:type="dxa"/>
          </w:tcPr>
          <w:p w:rsidR="00C70CC9" w:rsidRPr="00B83B41" w:rsidRDefault="00F96EA8" w:rsidP="002800A4">
            <w:pPr>
              <w:rPr>
                <w:sz w:val="18"/>
                <w:szCs w:val="18"/>
              </w:rPr>
            </w:pPr>
            <w:r>
              <w:rPr>
                <w:sz w:val="18"/>
                <w:szCs w:val="18"/>
              </w:rPr>
              <w:t>Dans le budget 2006, le gouvernement a alloué  plus de 30,5 millions de dollars pour réduire la pauvreté puis s’est engagé  à verser  ensuite 64 millions par an.</w:t>
            </w:r>
          </w:p>
          <w:p w:rsidR="00C70CC9" w:rsidRDefault="00C70CC9" w:rsidP="002800A4">
            <w:pPr>
              <w:rPr>
                <w:sz w:val="18"/>
                <w:szCs w:val="18"/>
              </w:rPr>
            </w:pPr>
          </w:p>
          <w:p w:rsidR="00F96EA8" w:rsidRDefault="00F96EA8" w:rsidP="002800A4">
            <w:pPr>
              <w:rPr>
                <w:sz w:val="18"/>
                <w:szCs w:val="18"/>
              </w:rPr>
            </w:pPr>
            <w:r>
              <w:rPr>
                <w:sz w:val="18"/>
                <w:szCs w:val="18"/>
              </w:rPr>
              <w:t>Dans le budget 2007, il a promis 28,9 millions de dollars de plus pour un total annuel de plus de 91 millions.  De ce fait, entre 2006 et 2008, plus de 100 millions ont été investis.</w:t>
            </w:r>
          </w:p>
          <w:p w:rsidR="00F96EA8" w:rsidRDefault="00F96EA8" w:rsidP="002800A4">
            <w:pPr>
              <w:rPr>
                <w:sz w:val="18"/>
                <w:szCs w:val="18"/>
              </w:rPr>
            </w:pPr>
          </w:p>
          <w:p w:rsidR="00F96EA8" w:rsidRDefault="00F96EA8" w:rsidP="002800A4">
            <w:pPr>
              <w:rPr>
                <w:sz w:val="18"/>
                <w:szCs w:val="18"/>
              </w:rPr>
            </w:pPr>
            <w:r>
              <w:rPr>
                <w:sz w:val="18"/>
                <w:szCs w:val="18"/>
              </w:rPr>
              <w:t>Cet investissement a atteint 132,2 millions de dollars en 2009 et 134 millions en 2010. En 2001, il s’élevait à 140 millions de dollars.</w:t>
            </w:r>
          </w:p>
          <w:p w:rsidR="00F96EA8" w:rsidRDefault="00F96EA8" w:rsidP="002800A4">
            <w:pPr>
              <w:rPr>
                <w:sz w:val="18"/>
                <w:szCs w:val="18"/>
              </w:rPr>
            </w:pPr>
          </w:p>
          <w:p w:rsidR="00F96EA8" w:rsidRPr="00306DB0" w:rsidRDefault="00F96EA8" w:rsidP="002800A4">
            <w:pPr>
              <w:rPr>
                <w:sz w:val="18"/>
                <w:szCs w:val="18"/>
              </w:rPr>
            </w:pPr>
            <w:r>
              <w:rPr>
                <w:sz w:val="18"/>
                <w:szCs w:val="18"/>
              </w:rPr>
              <w:t>Pour obtenir les faits saillants du budget 2001, consultez le site</w:t>
            </w:r>
            <w:r>
              <w:t xml:space="preserve"> </w:t>
            </w:r>
            <w:r w:rsidRPr="00F96EA8">
              <w:rPr>
                <w:sz w:val="18"/>
                <w:szCs w:val="18"/>
              </w:rPr>
              <w:t>http://www.budget.gov.nl.ca/budget201 0/</w:t>
            </w:r>
            <w:proofErr w:type="spellStart"/>
            <w:r w:rsidRPr="00F96EA8">
              <w:rPr>
                <w:sz w:val="18"/>
                <w:szCs w:val="18"/>
              </w:rPr>
              <w:t>highlights</w:t>
            </w:r>
            <w:proofErr w:type="spellEnd"/>
            <w:r w:rsidRPr="00F96EA8">
              <w:rPr>
                <w:sz w:val="18"/>
                <w:szCs w:val="18"/>
              </w:rPr>
              <w:t>/</w:t>
            </w:r>
            <w:proofErr w:type="spellStart"/>
            <w:r w:rsidRPr="00F96EA8">
              <w:rPr>
                <w:sz w:val="18"/>
                <w:szCs w:val="18"/>
              </w:rPr>
              <w:t>default.htmlights</w:t>
            </w:r>
            <w:proofErr w:type="spellEnd"/>
            <w:r w:rsidRPr="00F96EA8">
              <w:rPr>
                <w:sz w:val="18"/>
                <w:szCs w:val="18"/>
              </w:rPr>
              <w:t>:</w:t>
            </w:r>
          </w:p>
          <w:p w:rsidR="00F96EA8" w:rsidRDefault="00F96EA8" w:rsidP="002800A4">
            <w:pPr>
              <w:rPr>
                <w:sz w:val="16"/>
                <w:szCs w:val="16"/>
              </w:rPr>
            </w:pPr>
          </w:p>
          <w:p w:rsidR="00F96EA8" w:rsidRDefault="00F96EA8" w:rsidP="002800A4">
            <w:pPr>
              <w:rPr>
                <w:sz w:val="16"/>
                <w:szCs w:val="16"/>
              </w:rPr>
            </w:pPr>
          </w:p>
          <w:p w:rsidR="00C70CC9" w:rsidRPr="00306DB0" w:rsidRDefault="00C70CC9" w:rsidP="00F96EA8">
            <w:pPr>
              <w:jc w:val="center"/>
              <w:rPr>
                <w:sz w:val="18"/>
                <w:szCs w:val="18"/>
              </w:rPr>
            </w:pPr>
          </w:p>
        </w:tc>
      </w:tr>
    </w:tbl>
    <w:p w:rsidR="00C70CC9" w:rsidRDefault="00C70CC9" w:rsidP="00C70CC9"/>
    <w:p w:rsidR="00C70CC9" w:rsidRDefault="00C70CC9" w:rsidP="00C70CC9"/>
    <w:p w:rsidR="001C5DA9" w:rsidRDefault="001C5DA9" w:rsidP="00356BD9"/>
    <w:p w:rsidR="00356BD9" w:rsidRPr="001A05CA" w:rsidRDefault="001C5DA9" w:rsidP="001A05CA">
      <w:pPr>
        <w:pStyle w:val="NoSpacing"/>
        <w:rPr>
          <w:b/>
        </w:rPr>
      </w:pPr>
      <w:r w:rsidRPr="001A05CA">
        <w:rPr>
          <w:b/>
        </w:rPr>
        <w:t>A</w:t>
      </w:r>
      <w:r w:rsidR="00356BD9" w:rsidRPr="001A05CA">
        <w:rPr>
          <w:b/>
        </w:rPr>
        <w:t>nnexe 1 – Principes fondamentaux de la SRP</w:t>
      </w:r>
    </w:p>
    <w:tbl>
      <w:tblPr>
        <w:tblStyle w:val="TableGrid"/>
        <w:tblW w:w="0" w:type="auto"/>
        <w:tblLook w:val="04A0" w:firstRow="1" w:lastRow="0" w:firstColumn="1" w:lastColumn="0" w:noHBand="0" w:noVBand="1"/>
      </w:tblPr>
      <w:tblGrid>
        <w:gridCol w:w="1951"/>
        <w:gridCol w:w="2872"/>
        <w:gridCol w:w="2496"/>
        <w:gridCol w:w="2637"/>
        <w:gridCol w:w="3220"/>
      </w:tblGrid>
      <w:tr w:rsidR="00B06DFE" w:rsidRPr="00521902" w:rsidTr="00BA5D04">
        <w:trPr>
          <w:trHeight w:val="447"/>
        </w:trPr>
        <w:tc>
          <w:tcPr>
            <w:tcW w:w="1951" w:type="dxa"/>
          </w:tcPr>
          <w:p w:rsidR="00356BD9" w:rsidRPr="00200B7F" w:rsidRDefault="00356BD9" w:rsidP="009D07DF">
            <w:pPr>
              <w:rPr>
                <w:b/>
                <w:sz w:val="18"/>
                <w:szCs w:val="18"/>
              </w:rPr>
            </w:pPr>
            <w:r w:rsidRPr="00200B7F">
              <w:rPr>
                <w:b/>
                <w:sz w:val="18"/>
                <w:szCs w:val="18"/>
              </w:rPr>
              <w:t>Contexte politique provincial et thématique de la SRP</w:t>
            </w:r>
          </w:p>
        </w:tc>
        <w:tc>
          <w:tcPr>
            <w:tcW w:w="2872" w:type="dxa"/>
          </w:tcPr>
          <w:p w:rsidR="00356BD9" w:rsidRPr="00200B7F" w:rsidRDefault="00356BD9" w:rsidP="009D07DF">
            <w:pPr>
              <w:rPr>
                <w:b/>
              </w:rPr>
            </w:pPr>
            <w:r w:rsidRPr="00200B7F">
              <w:rPr>
                <w:b/>
              </w:rPr>
              <w:t>Législation</w:t>
            </w:r>
          </w:p>
        </w:tc>
        <w:tc>
          <w:tcPr>
            <w:tcW w:w="2496" w:type="dxa"/>
          </w:tcPr>
          <w:p w:rsidR="00356BD9" w:rsidRPr="00200B7F" w:rsidRDefault="00356BD9" w:rsidP="009D07DF">
            <w:pPr>
              <w:rPr>
                <w:b/>
              </w:rPr>
            </w:pPr>
            <w:r w:rsidRPr="00200B7F">
              <w:rPr>
                <w:b/>
              </w:rPr>
              <w:t>Buts et objectifs</w:t>
            </w:r>
          </w:p>
        </w:tc>
        <w:tc>
          <w:tcPr>
            <w:tcW w:w="2637" w:type="dxa"/>
          </w:tcPr>
          <w:p w:rsidR="00356BD9" w:rsidRPr="00200B7F" w:rsidRDefault="00356BD9" w:rsidP="009D07DF">
            <w:pPr>
              <w:rPr>
                <w:b/>
              </w:rPr>
            </w:pPr>
            <w:r w:rsidRPr="00200B7F">
              <w:rPr>
                <w:b/>
              </w:rPr>
              <w:t>Structure et consultation</w:t>
            </w:r>
          </w:p>
        </w:tc>
        <w:tc>
          <w:tcPr>
            <w:tcW w:w="3220" w:type="dxa"/>
          </w:tcPr>
          <w:p w:rsidR="00356BD9" w:rsidRPr="00200B7F" w:rsidRDefault="00356BD9" w:rsidP="009D07DF">
            <w:pPr>
              <w:rPr>
                <w:b/>
              </w:rPr>
            </w:pPr>
            <w:r w:rsidRPr="00200B7F">
              <w:rPr>
                <w:b/>
              </w:rPr>
              <w:t>Budget</w:t>
            </w:r>
          </w:p>
        </w:tc>
      </w:tr>
      <w:tr w:rsidR="00B06DFE" w:rsidRPr="00521902" w:rsidTr="00BA5D04">
        <w:tc>
          <w:tcPr>
            <w:tcW w:w="1951" w:type="dxa"/>
          </w:tcPr>
          <w:p w:rsidR="00356BD9" w:rsidRDefault="00356BD9" w:rsidP="009D07DF">
            <w:r>
              <w:rPr>
                <w:b/>
                <w:sz w:val="32"/>
                <w:szCs w:val="32"/>
              </w:rPr>
              <w:t>NOUVELLE-ÉCOSSE</w:t>
            </w:r>
          </w:p>
          <w:p w:rsidR="00356BD9" w:rsidRDefault="00356BD9" w:rsidP="009D07DF"/>
          <w:p w:rsidR="00356BD9" w:rsidRDefault="00356BD9" w:rsidP="009D07DF">
            <w:pPr>
              <w:rPr>
                <w:sz w:val="20"/>
                <w:szCs w:val="20"/>
              </w:rPr>
            </w:pPr>
          </w:p>
          <w:p w:rsidR="00356BD9" w:rsidRDefault="00356BD9" w:rsidP="009D07DF">
            <w:pPr>
              <w:rPr>
                <w:sz w:val="20"/>
                <w:szCs w:val="20"/>
              </w:rPr>
            </w:pPr>
            <w:proofErr w:type="spellStart"/>
            <w:r>
              <w:rPr>
                <w:sz w:val="20"/>
                <w:szCs w:val="20"/>
              </w:rPr>
              <w:t>Darrell</w:t>
            </w:r>
            <w:proofErr w:type="spellEnd"/>
            <w:r>
              <w:rPr>
                <w:sz w:val="20"/>
                <w:szCs w:val="20"/>
              </w:rPr>
              <w:t xml:space="preserve"> Dexter</w:t>
            </w:r>
          </w:p>
          <w:p w:rsidR="00356BD9" w:rsidRDefault="00356BD9" w:rsidP="009D07DF">
            <w:pPr>
              <w:rPr>
                <w:sz w:val="20"/>
                <w:szCs w:val="20"/>
              </w:rPr>
            </w:pPr>
            <w:r>
              <w:rPr>
                <w:sz w:val="20"/>
                <w:szCs w:val="20"/>
              </w:rPr>
              <w:t xml:space="preserve">Premier gouvernement néo-démocratique </w:t>
            </w:r>
            <w:proofErr w:type="spellStart"/>
            <w:proofErr w:type="gramStart"/>
            <w:r>
              <w:rPr>
                <w:sz w:val="20"/>
                <w:szCs w:val="20"/>
              </w:rPr>
              <w:t>a</w:t>
            </w:r>
            <w:proofErr w:type="spellEnd"/>
            <w:proofErr w:type="gramEnd"/>
            <w:r>
              <w:rPr>
                <w:sz w:val="20"/>
                <w:szCs w:val="20"/>
              </w:rPr>
              <w:t xml:space="preserve"> être élu dans les Maritimes.</w:t>
            </w:r>
          </w:p>
          <w:p w:rsidR="00356BD9" w:rsidRDefault="00356BD9" w:rsidP="009D07DF">
            <w:pPr>
              <w:rPr>
                <w:sz w:val="20"/>
                <w:szCs w:val="20"/>
              </w:rPr>
            </w:pPr>
          </w:p>
          <w:p w:rsidR="00356BD9" w:rsidRPr="00356BD9" w:rsidRDefault="00356BD9" w:rsidP="009D07DF">
            <w:pPr>
              <w:rPr>
                <w:b/>
                <w:sz w:val="20"/>
                <w:szCs w:val="20"/>
              </w:rPr>
            </w:pPr>
            <w:r w:rsidRPr="00356BD9">
              <w:rPr>
                <w:b/>
                <w:sz w:val="20"/>
                <w:szCs w:val="20"/>
              </w:rPr>
              <w:t>Prévention de  la pauvreté</w:t>
            </w:r>
          </w:p>
          <w:p w:rsidR="00356BD9" w:rsidRPr="00356BD9" w:rsidRDefault="00356BD9" w:rsidP="009D07DF">
            <w:pPr>
              <w:rPr>
                <w:b/>
                <w:sz w:val="20"/>
                <w:szCs w:val="20"/>
              </w:rPr>
            </w:pPr>
            <w:r w:rsidRPr="00356BD9">
              <w:rPr>
                <w:b/>
                <w:sz w:val="20"/>
                <w:szCs w:val="20"/>
              </w:rPr>
              <w:t>Promotion de la  prospérité</w:t>
            </w:r>
          </w:p>
          <w:p w:rsidR="00356BD9" w:rsidRPr="00356BD9" w:rsidRDefault="00356BD9" w:rsidP="009D07DF">
            <w:pPr>
              <w:rPr>
                <w:b/>
                <w:sz w:val="20"/>
                <w:szCs w:val="20"/>
              </w:rPr>
            </w:pPr>
          </w:p>
          <w:p w:rsidR="00356BD9" w:rsidRPr="00356BD9" w:rsidRDefault="00356BD9" w:rsidP="009D07DF">
            <w:pPr>
              <w:rPr>
                <w:b/>
                <w:sz w:val="20"/>
                <w:szCs w:val="20"/>
              </w:rPr>
            </w:pPr>
            <w:r w:rsidRPr="00356BD9">
              <w:rPr>
                <w:b/>
                <w:sz w:val="20"/>
                <w:szCs w:val="20"/>
              </w:rPr>
              <w:t>Stratégie de réduction de la pauvreté de la Nouvelle-Écosse</w:t>
            </w:r>
          </w:p>
          <w:p w:rsidR="00356BD9" w:rsidRPr="00374D4D" w:rsidRDefault="00356BD9" w:rsidP="009D07DF">
            <w:pPr>
              <w:rPr>
                <w:sz w:val="20"/>
                <w:szCs w:val="20"/>
              </w:rPr>
            </w:pPr>
          </w:p>
        </w:tc>
        <w:tc>
          <w:tcPr>
            <w:tcW w:w="2872" w:type="dxa"/>
          </w:tcPr>
          <w:p w:rsidR="00356BD9" w:rsidRPr="00784228" w:rsidRDefault="00356BD9" w:rsidP="009D07DF">
            <w:pPr>
              <w:pStyle w:val="NoSpacing"/>
              <w:rPr>
                <w:sz w:val="18"/>
                <w:szCs w:val="18"/>
              </w:rPr>
            </w:pPr>
            <w:r w:rsidRPr="00784228">
              <w:rPr>
                <w:i/>
                <w:sz w:val="18"/>
                <w:szCs w:val="18"/>
              </w:rPr>
              <w:t xml:space="preserve">Projet de loi  privé no.74, (2006) </w:t>
            </w:r>
            <w:proofErr w:type="spellStart"/>
            <w:r w:rsidR="00B06DFE" w:rsidRPr="00784228">
              <w:rPr>
                <w:i/>
                <w:sz w:val="18"/>
                <w:szCs w:val="18"/>
              </w:rPr>
              <w:t>Poverty</w:t>
            </w:r>
            <w:proofErr w:type="spellEnd"/>
            <w:r w:rsidR="00B06DFE" w:rsidRPr="00784228">
              <w:rPr>
                <w:i/>
                <w:sz w:val="18"/>
                <w:szCs w:val="18"/>
              </w:rPr>
              <w:t xml:space="preserve"> </w:t>
            </w:r>
            <w:proofErr w:type="spellStart"/>
            <w:r w:rsidR="00B06DFE" w:rsidRPr="00784228">
              <w:rPr>
                <w:i/>
                <w:sz w:val="18"/>
                <w:szCs w:val="18"/>
              </w:rPr>
              <w:t>Reduction</w:t>
            </w:r>
            <w:proofErr w:type="spellEnd"/>
            <w:r w:rsidR="00B06DFE" w:rsidRPr="00784228">
              <w:rPr>
                <w:i/>
                <w:sz w:val="18"/>
                <w:szCs w:val="18"/>
              </w:rPr>
              <w:t xml:space="preserve"> </w:t>
            </w:r>
            <w:proofErr w:type="spellStart"/>
            <w:r w:rsidR="00B06DFE" w:rsidRPr="00784228">
              <w:rPr>
                <w:i/>
                <w:sz w:val="18"/>
                <w:szCs w:val="18"/>
              </w:rPr>
              <w:t>Strategy</w:t>
            </w:r>
            <w:proofErr w:type="spellEnd"/>
            <w:r w:rsidR="00B06DFE" w:rsidRPr="00784228">
              <w:rPr>
                <w:i/>
                <w:sz w:val="18"/>
                <w:szCs w:val="18"/>
              </w:rPr>
              <w:t xml:space="preserve"> </w:t>
            </w:r>
            <w:proofErr w:type="spellStart"/>
            <w:r w:rsidR="00B06DFE" w:rsidRPr="00784228">
              <w:rPr>
                <w:i/>
                <w:sz w:val="18"/>
                <w:szCs w:val="18"/>
              </w:rPr>
              <w:t>Act</w:t>
            </w:r>
            <w:proofErr w:type="spellEnd"/>
            <w:r w:rsidR="00B06DFE" w:rsidRPr="00784228">
              <w:rPr>
                <w:i/>
                <w:sz w:val="18"/>
                <w:szCs w:val="18"/>
              </w:rPr>
              <w:t>.</w:t>
            </w:r>
          </w:p>
          <w:p w:rsidR="00356BD9" w:rsidRPr="00F96EA8" w:rsidRDefault="00356BD9" w:rsidP="009D07DF">
            <w:pPr>
              <w:pStyle w:val="NoSpacing"/>
              <w:rPr>
                <w:sz w:val="20"/>
                <w:szCs w:val="20"/>
              </w:rPr>
            </w:pPr>
          </w:p>
          <w:p w:rsidR="00356BD9" w:rsidRDefault="00B06DFE" w:rsidP="00B06DFE">
            <w:pPr>
              <w:pStyle w:val="NoSpacing"/>
              <w:rPr>
                <w:sz w:val="18"/>
                <w:szCs w:val="18"/>
              </w:rPr>
            </w:pPr>
            <w:r w:rsidRPr="00B06DFE">
              <w:rPr>
                <w:sz w:val="18"/>
                <w:szCs w:val="18"/>
              </w:rPr>
              <w:t>Projet de loi 94 en 2007 </w:t>
            </w:r>
            <w:proofErr w:type="gramStart"/>
            <w:r w:rsidRPr="00B06DFE">
              <w:rPr>
                <w:sz w:val="18"/>
                <w:szCs w:val="18"/>
              </w:rPr>
              <w:t xml:space="preserve">:  </w:t>
            </w:r>
            <w:r w:rsidRPr="00B06DFE">
              <w:rPr>
                <w:i/>
                <w:sz w:val="18"/>
                <w:szCs w:val="18"/>
              </w:rPr>
              <w:t>An</w:t>
            </w:r>
            <w:proofErr w:type="gramEnd"/>
            <w:r w:rsidRPr="00B06DFE">
              <w:rPr>
                <w:i/>
                <w:sz w:val="18"/>
                <w:szCs w:val="18"/>
              </w:rPr>
              <w:t xml:space="preserve"> </w:t>
            </w:r>
            <w:proofErr w:type="spellStart"/>
            <w:r w:rsidRPr="00B06DFE">
              <w:rPr>
                <w:i/>
                <w:sz w:val="18"/>
                <w:szCs w:val="18"/>
              </w:rPr>
              <w:t>Act</w:t>
            </w:r>
            <w:proofErr w:type="spellEnd"/>
            <w:r w:rsidRPr="00B06DFE">
              <w:rPr>
                <w:i/>
                <w:sz w:val="18"/>
                <w:szCs w:val="18"/>
              </w:rPr>
              <w:t xml:space="preserve"> to </w:t>
            </w:r>
            <w:proofErr w:type="spellStart"/>
            <w:r w:rsidRPr="00B06DFE">
              <w:rPr>
                <w:i/>
                <w:sz w:val="18"/>
                <w:szCs w:val="18"/>
              </w:rPr>
              <w:t>Establish</w:t>
            </w:r>
            <w:proofErr w:type="spellEnd"/>
            <w:r w:rsidRPr="00B06DFE">
              <w:rPr>
                <w:i/>
                <w:sz w:val="18"/>
                <w:szCs w:val="18"/>
              </w:rPr>
              <w:t xml:space="preserve"> a </w:t>
            </w:r>
            <w:proofErr w:type="spellStart"/>
            <w:r w:rsidRPr="00B06DFE">
              <w:rPr>
                <w:i/>
                <w:sz w:val="18"/>
                <w:szCs w:val="18"/>
              </w:rPr>
              <w:t>Poverty</w:t>
            </w:r>
            <w:proofErr w:type="spellEnd"/>
            <w:r w:rsidRPr="00B06DFE">
              <w:rPr>
                <w:i/>
                <w:sz w:val="18"/>
                <w:szCs w:val="18"/>
              </w:rPr>
              <w:t xml:space="preserve"> </w:t>
            </w:r>
            <w:proofErr w:type="spellStart"/>
            <w:r w:rsidRPr="00B06DFE">
              <w:rPr>
                <w:i/>
                <w:sz w:val="18"/>
                <w:szCs w:val="18"/>
              </w:rPr>
              <w:t>Reduction</w:t>
            </w:r>
            <w:proofErr w:type="spellEnd"/>
            <w:r w:rsidRPr="00B06DFE">
              <w:rPr>
                <w:i/>
                <w:sz w:val="18"/>
                <w:szCs w:val="18"/>
              </w:rPr>
              <w:t xml:space="preserve"> </w:t>
            </w:r>
            <w:proofErr w:type="spellStart"/>
            <w:r w:rsidRPr="00B06DFE">
              <w:rPr>
                <w:i/>
                <w:sz w:val="18"/>
                <w:szCs w:val="18"/>
              </w:rPr>
              <w:t>Working</w:t>
            </w:r>
            <w:proofErr w:type="spellEnd"/>
            <w:r w:rsidRPr="00B06DFE">
              <w:rPr>
                <w:i/>
                <w:sz w:val="18"/>
                <w:szCs w:val="18"/>
              </w:rPr>
              <w:t xml:space="preserve"> Group</w:t>
            </w:r>
            <w:r w:rsidRPr="00B06DFE">
              <w:rPr>
                <w:sz w:val="18"/>
                <w:szCs w:val="18"/>
              </w:rPr>
              <w:t>, adopté par la Chambre d’assemblée</w:t>
            </w:r>
            <w:r>
              <w:rPr>
                <w:sz w:val="18"/>
                <w:szCs w:val="18"/>
              </w:rPr>
              <w:t>.</w:t>
            </w:r>
          </w:p>
          <w:p w:rsidR="00B06DFE" w:rsidRDefault="00B06DFE" w:rsidP="00B06DFE">
            <w:pPr>
              <w:pStyle w:val="NoSpacing"/>
              <w:rPr>
                <w:sz w:val="18"/>
                <w:szCs w:val="18"/>
              </w:rPr>
            </w:pPr>
          </w:p>
          <w:p w:rsidR="00B06DFE" w:rsidRPr="001C5DA9" w:rsidRDefault="00B06DFE" w:rsidP="00784228">
            <w:pPr>
              <w:pStyle w:val="NoSpacing"/>
              <w:rPr>
                <w:sz w:val="18"/>
                <w:szCs w:val="18"/>
              </w:rPr>
            </w:pPr>
            <w:r w:rsidRPr="001C5DA9">
              <w:rPr>
                <w:sz w:val="18"/>
                <w:szCs w:val="18"/>
              </w:rPr>
              <w:t xml:space="preserve">En avril 2010, modifications au </w:t>
            </w:r>
            <w:r w:rsidRPr="001C5DA9">
              <w:rPr>
                <w:i/>
                <w:sz w:val="18"/>
                <w:szCs w:val="18"/>
              </w:rPr>
              <w:t xml:space="preserve">Sales </w:t>
            </w:r>
            <w:proofErr w:type="spellStart"/>
            <w:r w:rsidRPr="001C5DA9">
              <w:rPr>
                <w:i/>
                <w:sz w:val="18"/>
                <w:szCs w:val="18"/>
              </w:rPr>
              <w:t>Tax</w:t>
            </w:r>
            <w:proofErr w:type="spellEnd"/>
            <w:r w:rsidRPr="001C5DA9">
              <w:rPr>
                <w:i/>
                <w:sz w:val="18"/>
                <w:szCs w:val="18"/>
              </w:rPr>
              <w:t xml:space="preserve"> </w:t>
            </w:r>
            <w:proofErr w:type="spellStart"/>
            <w:r w:rsidRPr="001C5DA9">
              <w:rPr>
                <w:i/>
                <w:sz w:val="18"/>
                <w:szCs w:val="18"/>
              </w:rPr>
              <w:t>Act</w:t>
            </w:r>
            <w:proofErr w:type="spellEnd"/>
            <w:r w:rsidRPr="001C5DA9">
              <w:rPr>
                <w:sz w:val="18"/>
                <w:szCs w:val="18"/>
              </w:rPr>
              <w:t xml:space="preserve">, </w:t>
            </w:r>
            <w:proofErr w:type="gramStart"/>
            <w:r w:rsidRPr="001C5DA9">
              <w:rPr>
                <w:i/>
                <w:sz w:val="18"/>
                <w:szCs w:val="18"/>
              </w:rPr>
              <w:t xml:space="preserve">au </w:t>
            </w:r>
            <w:proofErr w:type="spellStart"/>
            <w:r w:rsidRPr="001C5DA9">
              <w:rPr>
                <w:i/>
                <w:sz w:val="18"/>
                <w:szCs w:val="18"/>
              </w:rPr>
              <w:t>Income</w:t>
            </w:r>
            <w:proofErr w:type="spellEnd"/>
            <w:proofErr w:type="gramEnd"/>
            <w:r w:rsidRPr="001C5DA9">
              <w:rPr>
                <w:i/>
                <w:sz w:val="18"/>
                <w:szCs w:val="18"/>
              </w:rPr>
              <w:t xml:space="preserve"> </w:t>
            </w:r>
            <w:proofErr w:type="spellStart"/>
            <w:r w:rsidRPr="001C5DA9">
              <w:rPr>
                <w:i/>
                <w:sz w:val="18"/>
                <w:szCs w:val="18"/>
              </w:rPr>
              <w:t>Tax</w:t>
            </w:r>
            <w:proofErr w:type="spellEnd"/>
            <w:r w:rsidRPr="001C5DA9">
              <w:rPr>
                <w:i/>
                <w:sz w:val="18"/>
                <w:szCs w:val="18"/>
              </w:rPr>
              <w:t xml:space="preserve"> </w:t>
            </w:r>
            <w:proofErr w:type="spellStart"/>
            <w:r w:rsidRPr="001C5DA9">
              <w:rPr>
                <w:i/>
                <w:sz w:val="18"/>
                <w:szCs w:val="18"/>
              </w:rPr>
              <w:t>Act</w:t>
            </w:r>
            <w:proofErr w:type="spellEnd"/>
            <w:r w:rsidRPr="001C5DA9">
              <w:rPr>
                <w:i/>
                <w:sz w:val="18"/>
                <w:szCs w:val="18"/>
              </w:rPr>
              <w:t xml:space="preserve"> </w:t>
            </w:r>
            <w:r w:rsidRPr="001C5DA9">
              <w:rPr>
                <w:sz w:val="18"/>
                <w:szCs w:val="18"/>
              </w:rPr>
              <w:t xml:space="preserve">et au </w:t>
            </w:r>
            <w:r w:rsidRPr="001C5DA9">
              <w:rPr>
                <w:i/>
                <w:sz w:val="18"/>
                <w:szCs w:val="18"/>
              </w:rPr>
              <w:t xml:space="preserve">Financial </w:t>
            </w:r>
            <w:proofErr w:type="spellStart"/>
            <w:r w:rsidRPr="001C5DA9">
              <w:rPr>
                <w:i/>
                <w:sz w:val="18"/>
                <w:szCs w:val="18"/>
              </w:rPr>
              <w:t>Measures</w:t>
            </w:r>
            <w:proofErr w:type="spellEnd"/>
            <w:r w:rsidRPr="001C5DA9">
              <w:rPr>
                <w:i/>
                <w:sz w:val="18"/>
                <w:szCs w:val="18"/>
              </w:rPr>
              <w:t xml:space="preserve"> </w:t>
            </w:r>
            <w:proofErr w:type="spellStart"/>
            <w:r w:rsidRPr="001C5DA9">
              <w:rPr>
                <w:i/>
                <w:sz w:val="18"/>
                <w:szCs w:val="18"/>
              </w:rPr>
              <w:t>Act</w:t>
            </w:r>
            <w:proofErr w:type="spellEnd"/>
            <w:r w:rsidRPr="001C5DA9">
              <w:rPr>
                <w:sz w:val="18"/>
                <w:szCs w:val="18"/>
              </w:rPr>
              <w:t xml:space="preserve">.  </w:t>
            </w:r>
            <w:r w:rsidR="00784228" w:rsidRPr="001C5DA9">
              <w:rPr>
                <w:sz w:val="18"/>
                <w:szCs w:val="18"/>
              </w:rPr>
              <w:t xml:space="preserve"> (parmi les modifications notons le financement du Régime de pensions pour le 1</w:t>
            </w:r>
            <w:r w:rsidR="00784228" w:rsidRPr="001C5DA9">
              <w:rPr>
                <w:sz w:val="18"/>
                <w:szCs w:val="18"/>
                <w:vertAlign w:val="superscript"/>
              </w:rPr>
              <w:t>er</w:t>
            </w:r>
            <w:r w:rsidR="00784228" w:rsidRPr="001C5DA9">
              <w:rPr>
                <w:sz w:val="18"/>
                <w:szCs w:val="18"/>
              </w:rPr>
              <w:t xml:space="preserve"> janvier 2011; des mesures fiscales pour aider les Néo-Écossais à faible revenu, les personnes âgées, les petites entreprises, incluant «  le crédit d’impôt pour la vie abordable » et « le crédit d’impôt pour la réduction de la pauvreté. »</w:t>
            </w:r>
          </w:p>
          <w:p w:rsidR="00784228" w:rsidRDefault="00784228" w:rsidP="00784228">
            <w:pPr>
              <w:pStyle w:val="NoSpacing"/>
              <w:rPr>
                <w:sz w:val="18"/>
                <w:szCs w:val="18"/>
              </w:rPr>
            </w:pPr>
          </w:p>
          <w:p w:rsidR="00784228" w:rsidRDefault="00784228" w:rsidP="005E662B">
            <w:pPr>
              <w:pStyle w:val="NoSpacing"/>
              <w:rPr>
                <w:sz w:val="18"/>
                <w:szCs w:val="18"/>
              </w:rPr>
            </w:pPr>
            <w:r w:rsidRPr="005E662B">
              <w:rPr>
                <w:sz w:val="18"/>
                <w:szCs w:val="18"/>
              </w:rPr>
              <w:t>2011 </w:t>
            </w:r>
            <w:proofErr w:type="gramStart"/>
            <w:r w:rsidRPr="005E662B">
              <w:rPr>
                <w:sz w:val="18"/>
                <w:szCs w:val="18"/>
              </w:rPr>
              <w:t xml:space="preserve">:  </w:t>
            </w:r>
            <w:r w:rsidRPr="005E662B">
              <w:rPr>
                <w:i/>
                <w:sz w:val="18"/>
                <w:szCs w:val="18"/>
              </w:rPr>
              <w:t>The</w:t>
            </w:r>
            <w:proofErr w:type="gramEnd"/>
            <w:r w:rsidRPr="005E662B">
              <w:rPr>
                <w:i/>
                <w:sz w:val="18"/>
                <w:szCs w:val="18"/>
              </w:rPr>
              <w:t xml:space="preserve"> Protection of </w:t>
            </w:r>
            <w:proofErr w:type="spellStart"/>
            <w:r w:rsidRPr="005E662B">
              <w:rPr>
                <w:i/>
                <w:sz w:val="18"/>
                <w:szCs w:val="18"/>
              </w:rPr>
              <w:t>Persons</w:t>
            </w:r>
            <w:proofErr w:type="spellEnd"/>
            <w:r w:rsidRPr="005E662B">
              <w:rPr>
                <w:i/>
                <w:sz w:val="18"/>
                <w:szCs w:val="18"/>
              </w:rPr>
              <w:t xml:space="preserve"> in Care </w:t>
            </w:r>
            <w:proofErr w:type="spellStart"/>
            <w:r w:rsidRPr="005E662B">
              <w:rPr>
                <w:i/>
                <w:sz w:val="18"/>
                <w:szCs w:val="18"/>
              </w:rPr>
              <w:t>Ac</w:t>
            </w:r>
            <w:r w:rsidRPr="005E662B">
              <w:rPr>
                <w:sz w:val="18"/>
                <w:szCs w:val="18"/>
              </w:rPr>
              <w:t>t</w:t>
            </w:r>
            <w:proofErr w:type="spellEnd"/>
            <w:r w:rsidR="004D6437">
              <w:rPr>
                <w:sz w:val="18"/>
                <w:szCs w:val="18"/>
              </w:rPr>
              <w:t xml:space="preserve"> a été élargi pour inclure l</w:t>
            </w:r>
            <w:r w:rsidR="005E662B" w:rsidRPr="005E662B">
              <w:rPr>
                <w:sz w:val="18"/>
                <w:szCs w:val="18"/>
              </w:rPr>
              <w:t>es maisons avec peu d’</w:t>
            </w:r>
            <w:r w:rsidR="005E662B">
              <w:rPr>
                <w:sz w:val="18"/>
                <w:szCs w:val="18"/>
              </w:rPr>
              <w:t>options, offrant ainsi aux résidents, à leurs familles et au personnel de rapporter de supposés cas d’abus (NS06).</w:t>
            </w:r>
          </w:p>
          <w:p w:rsidR="005E662B" w:rsidRDefault="005E662B" w:rsidP="005E662B">
            <w:pPr>
              <w:pStyle w:val="NoSpacing"/>
              <w:rPr>
                <w:sz w:val="18"/>
                <w:szCs w:val="18"/>
              </w:rPr>
            </w:pPr>
          </w:p>
          <w:p w:rsidR="005E662B" w:rsidRPr="005E662B" w:rsidRDefault="005E662B" w:rsidP="005E662B">
            <w:pPr>
              <w:pStyle w:val="NoSpacing"/>
              <w:rPr>
                <w:sz w:val="18"/>
                <w:szCs w:val="18"/>
              </w:rPr>
            </w:pPr>
            <w:r w:rsidRPr="005E662B">
              <w:rPr>
                <w:sz w:val="18"/>
                <w:szCs w:val="18"/>
              </w:rPr>
              <w:t xml:space="preserve">Modifications au </w:t>
            </w:r>
            <w:r w:rsidRPr="005E662B">
              <w:rPr>
                <w:i/>
                <w:sz w:val="18"/>
                <w:szCs w:val="18"/>
              </w:rPr>
              <w:t xml:space="preserve">Homes for </w:t>
            </w:r>
            <w:proofErr w:type="spellStart"/>
            <w:r w:rsidRPr="005E662B">
              <w:rPr>
                <w:i/>
                <w:sz w:val="18"/>
                <w:szCs w:val="18"/>
              </w:rPr>
              <w:t>Special</w:t>
            </w:r>
            <w:proofErr w:type="spellEnd"/>
            <w:r w:rsidRPr="005E662B">
              <w:rPr>
                <w:i/>
                <w:sz w:val="18"/>
                <w:szCs w:val="18"/>
              </w:rPr>
              <w:t xml:space="preserve"> care </w:t>
            </w:r>
            <w:proofErr w:type="spellStart"/>
            <w:r w:rsidRPr="005E662B">
              <w:rPr>
                <w:i/>
                <w:sz w:val="18"/>
                <w:szCs w:val="18"/>
              </w:rPr>
              <w:t>Act</w:t>
            </w:r>
            <w:proofErr w:type="spellEnd"/>
            <w:r w:rsidRPr="005E662B">
              <w:rPr>
                <w:sz w:val="18"/>
                <w:szCs w:val="18"/>
              </w:rPr>
              <w:t>, afin de prolonger le permis des maisons avec peu d’options.</w:t>
            </w:r>
          </w:p>
        </w:tc>
        <w:tc>
          <w:tcPr>
            <w:tcW w:w="2496" w:type="dxa"/>
          </w:tcPr>
          <w:p w:rsidR="00356BD9" w:rsidRDefault="001C5DA9" w:rsidP="009D07DF">
            <w:pPr>
              <w:pStyle w:val="NoSpacing"/>
              <w:rPr>
                <w:rFonts w:cs="Myriad Pro"/>
                <w:color w:val="000000"/>
                <w:sz w:val="20"/>
                <w:szCs w:val="20"/>
              </w:rPr>
            </w:pPr>
            <w:r>
              <w:rPr>
                <w:rFonts w:cs="Myriad Pro"/>
                <w:color w:val="000000"/>
                <w:sz w:val="20"/>
                <w:szCs w:val="20"/>
              </w:rPr>
              <w:t>Briser le cercle vicieux  de la pauvreté avant 2020 et créer des possibilités pour permettre à tous les Néo-Écossais de participer à la prospérité de la province et bénéficier d’un meilleur niveau de vie.</w:t>
            </w:r>
          </w:p>
          <w:p w:rsidR="001C5DA9" w:rsidRDefault="001C5DA9" w:rsidP="009D07DF">
            <w:pPr>
              <w:pStyle w:val="NoSpacing"/>
              <w:rPr>
                <w:b/>
                <w:sz w:val="20"/>
                <w:szCs w:val="20"/>
              </w:rPr>
            </w:pPr>
          </w:p>
          <w:p w:rsidR="001C5DA9" w:rsidRDefault="001C5DA9" w:rsidP="001C5DA9">
            <w:pPr>
              <w:pStyle w:val="NoSpacing"/>
              <w:rPr>
                <w:b/>
              </w:rPr>
            </w:pPr>
            <w:r w:rsidRPr="005E662B">
              <w:rPr>
                <w:b/>
              </w:rPr>
              <w:t xml:space="preserve">Buts :  </w:t>
            </w:r>
          </w:p>
          <w:p w:rsidR="005E662B" w:rsidRPr="005E662B" w:rsidRDefault="005E662B" w:rsidP="001C5DA9">
            <w:pPr>
              <w:pStyle w:val="NoSpacing"/>
              <w:rPr>
                <w:b/>
              </w:rPr>
            </w:pPr>
          </w:p>
          <w:p w:rsidR="001C5DA9" w:rsidRDefault="001C5DA9" w:rsidP="001C5DA9">
            <w:pPr>
              <w:pStyle w:val="NoSpacing"/>
              <w:rPr>
                <w:sz w:val="20"/>
                <w:szCs w:val="20"/>
              </w:rPr>
            </w:pPr>
            <w:r>
              <w:rPr>
                <w:sz w:val="20"/>
                <w:szCs w:val="20"/>
              </w:rPr>
              <w:t>1.</w:t>
            </w:r>
            <w:r w:rsidR="005E662B">
              <w:rPr>
                <w:sz w:val="20"/>
                <w:szCs w:val="20"/>
              </w:rPr>
              <w:t xml:space="preserve"> </w:t>
            </w:r>
            <w:r w:rsidRPr="001C5DA9">
              <w:rPr>
                <w:sz w:val="20"/>
                <w:szCs w:val="20"/>
              </w:rPr>
              <w:t>Permettre et récompenser le travail</w:t>
            </w:r>
          </w:p>
          <w:p w:rsidR="005E662B" w:rsidRDefault="005E662B" w:rsidP="005E662B">
            <w:pPr>
              <w:pStyle w:val="NoSpacing"/>
            </w:pPr>
            <w:r>
              <w:t>2.  Améliorer les mesures de soutien pour les personnes dans le besoin</w:t>
            </w:r>
          </w:p>
          <w:p w:rsidR="005E662B" w:rsidRDefault="005E662B" w:rsidP="005E662B">
            <w:pPr>
              <w:pStyle w:val="NoSpacing"/>
            </w:pPr>
            <w:r>
              <w:t>3.  Mettre l’accent sur nos enfants</w:t>
            </w:r>
          </w:p>
          <w:p w:rsidR="005E662B" w:rsidRPr="001C5DA9" w:rsidRDefault="005E662B" w:rsidP="005E662B">
            <w:pPr>
              <w:pStyle w:val="NoSpacing"/>
              <w:rPr>
                <w:sz w:val="20"/>
                <w:szCs w:val="20"/>
              </w:rPr>
            </w:pPr>
            <w:r>
              <w:t>4.  Collaborer et coordonner</w:t>
            </w:r>
          </w:p>
        </w:tc>
        <w:tc>
          <w:tcPr>
            <w:tcW w:w="2637" w:type="dxa"/>
          </w:tcPr>
          <w:p w:rsidR="00356BD9" w:rsidRDefault="00653950" w:rsidP="009D07DF">
            <w:pPr>
              <w:pStyle w:val="NoSpacing"/>
              <w:rPr>
                <w:sz w:val="18"/>
                <w:szCs w:val="18"/>
              </w:rPr>
            </w:pPr>
            <w:r>
              <w:rPr>
                <w:sz w:val="18"/>
                <w:szCs w:val="18"/>
              </w:rPr>
              <w:t>Nouveau poste </w:t>
            </w:r>
            <w:proofErr w:type="gramStart"/>
            <w:r>
              <w:rPr>
                <w:sz w:val="18"/>
                <w:szCs w:val="18"/>
              </w:rPr>
              <w:t>:  Coordonnateur</w:t>
            </w:r>
            <w:proofErr w:type="gramEnd"/>
            <w:r>
              <w:rPr>
                <w:sz w:val="18"/>
                <w:szCs w:val="18"/>
              </w:rPr>
              <w:t xml:space="preserve"> de la stratégie de réduction de la pauvreté + les ministres de 9 ministères (NS03, p.7)</w:t>
            </w:r>
          </w:p>
          <w:p w:rsidR="00653950" w:rsidRDefault="00653950" w:rsidP="009D07DF">
            <w:pPr>
              <w:pStyle w:val="NoSpacing"/>
              <w:rPr>
                <w:sz w:val="18"/>
                <w:szCs w:val="18"/>
              </w:rPr>
            </w:pPr>
            <w:r>
              <w:rPr>
                <w:sz w:val="18"/>
                <w:szCs w:val="18"/>
              </w:rPr>
              <w:t xml:space="preserve">Relevant du ministère des </w:t>
            </w:r>
            <w:r w:rsidR="004145FC">
              <w:rPr>
                <w:sz w:val="18"/>
                <w:szCs w:val="18"/>
              </w:rPr>
              <w:t>Services communautaires, du travail et du développement de la main d’œuvre.</w:t>
            </w:r>
          </w:p>
          <w:p w:rsidR="004145FC" w:rsidRDefault="004145FC" w:rsidP="009D07DF">
            <w:pPr>
              <w:pStyle w:val="NoSpacing"/>
              <w:rPr>
                <w:sz w:val="18"/>
                <w:szCs w:val="18"/>
              </w:rPr>
            </w:pPr>
          </w:p>
          <w:p w:rsidR="004145FC" w:rsidRDefault="004145FC" w:rsidP="009D07DF">
            <w:pPr>
              <w:pStyle w:val="NoSpacing"/>
              <w:rPr>
                <w:sz w:val="18"/>
                <w:szCs w:val="18"/>
              </w:rPr>
            </w:pPr>
            <w:r>
              <w:rPr>
                <w:sz w:val="18"/>
                <w:szCs w:val="18"/>
              </w:rPr>
              <w:t>Groupe de travail pour la réduction de la pauvreté (PRWG) représentant les  ONG, le marché du travail, les entreprises, les minorités visibles, les personnes handicapées, les peuples autochtones, etc…</w:t>
            </w:r>
            <w:r w:rsidR="00BA5D04">
              <w:rPr>
                <w:sz w:val="18"/>
                <w:szCs w:val="18"/>
              </w:rPr>
              <w:t xml:space="preserve"> Différentes personnes et organisations ont également témoigné devant le Groupe de travail qui s’est réuni entre </w:t>
            </w:r>
            <w:proofErr w:type="spellStart"/>
            <w:r w:rsidR="00BA5D04">
              <w:rPr>
                <w:sz w:val="18"/>
                <w:szCs w:val="18"/>
              </w:rPr>
              <w:t>janv</w:t>
            </w:r>
            <w:proofErr w:type="spellEnd"/>
            <w:r w:rsidR="00BA5D04">
              <w:rPr>
                <w:sz w:val="18"/>
                <w:szCs w:val="18"/>
              </w:rPr>
              <w:t xml:space="preserve"> et juin 2008.  (NSO4 p.6 et 7).</w:t>
            </w:r>
          </w:p>
          <w:p w:rsidR="00BA5D04" w:rsidRDefault="00BA5D04" w:rsidP="009D07DF">
            <w:pPr>
              <w:pStyle w:val="NoSpacing"/>
              <w:rPr>
                <w:sz w:val="18"/>
                <w:szCs w:val="18"/>
              </w:rPr>
            </w:pPr>
          </w:p>
          <w:p w:rsidR="00BA5D04" w:rsidRDefault="00BA5D04" w:rsidP="009D07DF">
            <w:pPr>
              <w:pStyle w:val="NoSpacing"/>
              <w:rPr>
                <w:sz w:val="18"/>
                <w:szCs w:val="18"/>
              </w:rPr>
            </w:pPr>
            <w:r>
              <w:rPr>
                <w:sz w:val="18"/>
                <w:szCs w:val="18"/>
              </w:rPr>
              <w:t xml:space="preserve">Le PRWG a examiné des SRP d’autres </w:t>
            </w:r>
            <w:r w:rsidR="004D6437">
              <w:rPr>
                <w:sz w:val="18"/>
                <w:szCs w:val="18"/>
              </w:rPr>
              <w:t>« gouvernements », incluant le Q</w:t>
            </w:r>
            <w:r>
              <w:rPr>
                <w:sz w:val="18"/>
                <w:szCs w:val="18"/>
              </w:rPr>
              <w:t>uébec, TN-L, l’Irlande/l’Écosse (NS04, p.11).</w:t>
            </w:r>
          </w:p>
          <w:p w:rsidR="00BA5D04" w:rsidRDefault="00BA5D04" w:rsidP="009D07DF">
            <w:pPr>
              <w:pStyle w:val="NoSpacing"/>
              <w:rPr>
                <w:sz w:val="18"/>
                <w:szCs w:val="18"/>
              </w:rPr>
            </w:pPr>
          </w:p>
          <w:p w:rsidR="00BA5D04" w:rsidRPr="006567BF" w:rsidRDefault="00BA5D04" w:rsidP="009D07DF">
            <w:pPr>
              <w:pStyle w:val="NoSpacing"/>
              <w:rPr>
                <w:sz w:val="18"/>
                <w:szCs w:val="18"/>
              </w:rPr>
            </w:pPr>
            <w:r>
              <w:rPr>
                <w:sz w:val="18"/>
                <w:szCs w:val="18"/>
              </w:rPr>
              <w:t>A également  inclus des renseignements provenant de consultations provinciales passées.</w:t>
            </w:r>
          </w:p>
          <w:p w:rsidR="00356BD9" w:rsidRPr="00BA5D04" w:rsidRDefault="00356BD9" w:rsidP="009D07DF">
            <w:pPr>
              <w:pStyle w:val="NoSpacing"/>
              <w:rPr>
                <w:sz w:val="18"/>
                <w:szCs w:val="18"/>
              </w:rPr>
            </w:pPr>
          </w:p>
          <w:p w:rsidR="00356BD9" w:rsidRPr="006567BF" w:rsidRDefault="00356BD9" w:rsidP="009D07DF">
            <w:pPr>
              <w:pStyle w:val="NoSpacing"/>
              <w:rPr>
                <w:sz w:val="18"/>
                <w:szCs w:val="18"/>
              </w:rPr>
            </w:pPr>
          </w:p>
        </w:tc>
        <w:tc>
          <w:tcPr>
            <w:tcW w:w="3220" w:type="dxa"/>
          </w:tcPr>
          <w:p w:rsidR="0055593F" w:rsidRDefault="0055593F" w:rsidP="0055593F">
            <w:pPr>
              <w:rPr>
                <w:sz w:val="18"/>
                <w:szCs w:val="18"/>
              </w:rPr>
            </w:pPr>
            <w:r>
              <w:rPr>
                <w:sz w:val="18"/>
                <w:szCs w:val="18"/>
              </w:rPr>
              <w:t>Dans le budget de 2009 </w:t>
            </w:r>
            <w:proofErr w:type="gramStart"/>
            <w:r>
              <w:rPr>
                <w:sz w:val="18"/>
                <w:szCs w:val="18"/>
              </w:rPr>
              <w:t>:  155</w:t>
            </w:r>
            <w:proofErr w:type="gramEnd"/>
            <w:r>
              <w:rPr>
                <w:sz w:val="18"/>
                <w:szCs w:val="18"/>
              </w:rPr>
              <w:t xml:space="preserve"> millions de $ (consolidant les 200 millions de $ des 3 dernières années ) (NS03, p.2).  Cela inclut les 81 millions de $ fédéraux alloués pour l’emploi en N-E. Et 7 millions de $ pour les recommandations du i Groupe de travail pour la réduction de la pauvreté; 400 000 $ pour supprimer les irritants à l’emploi et 59 millions de $  sur trois ans (à partir de 2009) pour le logement.</w:t>
            </w:r>
          </w:p>
          <w:p w:rsidR="0055593F" w:rsidRDefault="0055593F" w:rsidP="0055593F">
            <w:pPr>
              <w:rPr>
                <w:sz w:val="18"/>
                <w:szCs w:val="18"/>
              </w:rPr>
            </w:pPr>
          </w:p>
          <w:p w:rsidR="00050281" w:rsidRDefault="00050281" w:rsidP="0055593F">
            <w:pPr>
              <w:rPr>
                <w:sz w:val="18"/>
                <w:szCs w:val="18"/>
              </w:rPr>
            </w:pPr>
            <w:r>
              <w:rPr>
                <w:sz w:val="18"/>
                <w:szCs w:val="18"/>
              </w:rPr>
              <w:t xml:space="preserve">Trois partenariats ont été conclus avec le </w:t>
            </w:r>
            <w:proofErr w:type="spellStart"/>
            <w:r>
              <w:rPr>
                <w:sz w:val="18"/>
                <w:szCs w:val="18"/>
              </w:rPr>
              <w:t>gouv</w:t>
            </w:r>
            <w:proofErr w:type="spellEnd"/>
            <w:r>
              <w:rPr>
                <w:sz w:val="18"/>
                <w:szCs w:val="18"/>
              </w:rPr>
              <w:t>. Fédéral :</w:t>
            </w:r>
          </w:p>
          <w:p w:rsidR="00050281" w:rsidRDefault="00050281" w:rsidP="00050281">
            <w:pPr>
              <w:rPr>
                <w:sz w:val="18"/>
                <w:szCs w:val="18"/>
              </w:rPr>
            </w:pPr>
            <w:r>
              <w:rPr>
                <w:sz w:val="18"/>
                <w:szCs w:val="18"/>
              </w:rPr>
              <w:t xml:space="preserve">1. </w:t>
            </w:r>
            <w:r w:rsidRPr="00050281">
              <w:rPr>
                <w:sz w:val="18"/>
                <w:szCs w:val="18"/>
              </w:rPr>
              <w:t xml:space="preserve">Au  titre de l’Entente pour l’investissement en logements abordables, </w:t>
            </w:r>
            <w:r>
              <w:rPr>
                <w:sz w:val="18"/>
                <w:szCs w:val="18"/>
              </w:rPr>
              <w:t>56,2 millions de $ ont été investis dans la province et 9 millions ont été réservés pour subventionner des loyers sur une période de 10 ans.</w:t>
            </w:r>
          </w:p>
          <w:p w:rsidR="00050281" w:rsidRDefault="00050281" w:rsidP="00050281">
            <w:pPr>
              <w:rPr>
                <w:sz w:val="18"/>
                <w:szCs w:val="18"/>
              </w:rPr>
            </w:pPr>
            <w:r>
              <w:rPr>
                <w:sz w:val="18"/>
                <w:szCs w:val="18"/>
              </w:rPr>
              <w:t>2.</w:t>
            </w:r>
            <w:r w:rsidR="00C21832">
              <w:rPr>
                <w:sz w:val="18"/>
                <w:szCs w:val="18"/>
              </w:rPr>
              <w:t xml:space="preserve"> </w:t>
            </w:r>
            <w:r>
              <w:rPr>
                <w:sz w:val="18"/>
                <w:szCs w:val="18"/>
              </w:rPr>
              <w:t>Au titre de la Fiducie de 23 millions de $ pour le logement abordable, le gour. Provincial construit et réserve des unités d’habitation.</w:t>
            </w:r>
          </w:p>
          <w:p w:rsidR="00050281" w:rsidRDefault="00050281" w:rsidP="00050281">
            <w:pPr>
              <w:rPr>
                <w:sz w:val="18"/>
                <w:szCs w:val="18"/>
              </w:rPr>
            </w:pPr>
            <w:r>
              <w:rPr>
                <w:sz w:val="18"/>
                <w:szCs w:val="18"/>
              </w:rPr>
              <w:t>3. Au titre de la Fiducie de 7,8 millions de dollars pour le logement des Autochtones hors réserve, la province travaille avec les collectivités d’autochtones hors-réserve pour trouver des solutions en matière de</w:t>
            </w:r>
            <w:r w:rsidR="00C21832">
              <w:rPr>
                <w:sz w:val="18"/>
                <w:szCs w:val="18"/>
              </w:rPr>
              <w:t xml:space="preserve"> logements abordables.</w:t>
            </w:r>
          </w:p>
          <w:p w:rsidR="00C21832" w:rsidRDefault="00C21832" w:rsidP="00050281">
            <w:pPr>
              <w:rPr>
                <w:sz w:val="18"/>
                <w:szCs w:val="18"/>
              </w:rPr>
            </w:pPr>
          </w:p>
          <w:p w:rsidR="00C21832" w:rsidRPr="00050281" w:rsidRDefault="00C21832" w:rsidP="00C21832">
            <w:pPr>
              <w:rPr>
                <w:sz w:val="18"/>
                <w:szCs w:val="18"/>
              </w:rPr>
            </w:pPr>
            <w:r>
              <w:rPr>
                <w:sz w:val="18"/>
                <w:szCs w:val="18"/>
              </w:rPr>
              <w:t>Les services communautaires accordent en outre plus de 10 millions de $ par an pour les refuges, les centres de réadaptation des toxicomanes et les maisons de transition.</w:t>
            </w:r>
          </w:p>
        </w:tc>
      </w:tr>
    </w:tbl>
    <w:p w:rsidR="00137DE6" w:rsidRDefault="001A05CA" w:rsidP="00A22BCB">
      <w:pPr>
        <w:rPr>
          <w:b/>
        </w:rPr>
      </w:pPr>
      <w:r w:rsidRPr="001A05CA">
        <w:rPr>
          <w:b/>
        </w:rPr>
        <w:t>Tableau 3, Annexe 1 </w:t>
      </w:r>
      <w:proofErr w:type="gramStart"/>
      <w:r w:rsidRPr="001A05CA">
        <w:rPr>
          <w:b/>
        </w:rPr>
        <w:t>:</w:t>
      </w:r>
      <w:r w:rsidR="00137DE6">
        <w:rPr>
          <w:b/>
        </w:rPr>
        <w:t xml:space="preserve">  Principes</w:t>
      </w:r>
      <w:proofErr w:type="gramEnd"/>
      <w:r w:rsidR="00137DE6">
        <w:rPr>
          <w:b/>
        </w:rPr>
        <w:t xml:space="preserve"> fondamentaux d</w:t>
      </w:r>
      <w:r w:rsidR="00133704">
        <w:rPr>
          <w:b/>
        </w:rPr>
        <w:t xml:space="preserve">e la SRP </w:t>
      </w:r>
    </w:p>
    <w:p w:rsidR="00137DE6" w:rsidRPr="00EA4F8D" w:rsidRDefault="00137DE6" w:rsidP="00137DE6">
      <w:pPr>
        <w:pStyle w:val="NoSpacing"/>
        <w:rPr>
          <w:b/>
        </w:rPr>
      </w:pPr>
      <w:r>
        <w:rPr>
          <w:b/>
        </w:rPr>
        <w:t>A</w:t>
      </w:r>
      <w:r w:rsidRPr="00EA4F8D">
        <w:rPr>
          <w:b/>
        </w:rPr>
        <w:t xml:space="preserve">nnexe 2 – </w:t>
      </w:r>
      <w:r w:rsidR="002832BF">
        <w:rPr>
          <w:b/>
        </w:rPr>
        <w:t xml:space="preserve">Activités et initiatives sélectionnées des </w:t>
      </w:r>
      <w:r w:rsidR="002832BF" w:rsidRPr="00EA4F8D">
        <w:rPr>
          <w:b/>
        </w:rPr>
        <w:t xml:space="preserve">SRP </w:t>
      </w:r>
    </w:p>
    <w:p w:rsidR="00137DE6" w:rsidRPr="001A05CA" w:rsidRDefault="00137DE6" w:rsidP="00137DE6">
      <w:pPr>
        <w:pStyle w:val="NoSpacing"/>
      </w:pPr>
    </w:p>
    <w:tbl>
      <w:tblPr>
        <w:tblStyle w:val="TableGrid"/>
        <w:tblW w:w="0" w:type="auto"/>
        <w:tblLook w:val="04A0" w:firstRow="1" w:lastRow="0" w:firstColumn="1" w:lastColumn="0" w:noHBand="0" w:noVBand="1"/>
      </w:tblPr>
      <w:tblGrid>
        <w:gridCol w:w="1668"/>
        <w:gridCol w:w="3118"/>
        <w:gridCol w:w="2693"/>
        <w:gridCol w:w="3001"/>
        <w:gridCol w:w="2620"/>
      </w:tblGrid>
      <w:tr w:rsidR="00137DE6" w:rsidTr="009D07DF">
        <w:tc>
          <w:tcPr>
            <w:tcW w:w="1668" w:type="dxa"/>
          </w:tcPr>
          <w:p w:rsidR="00137DE6" w:rsidRDefault="00137DE6" w:rsidP="009D07DF"/>
        </w:tc>
        <w:tc>
          <w:tcPr>
            <w:tcW w:w="3118" w:type="dxa"/>
          </w:tcPr>
          <w:p w:rsidR="00137DE6" w:rsidRPr="00AF1D29" w:rsidRDefault="00137DE6" w:rsidP="009D07DF">
            <w:pPr>
              <w:rPr>
                <w:b/>
              </w:rPr>
            </w:pPr>
            <w:r w:rsidRPr="00AF1D29">
              <w:rPr>
                <w:b/>
              </w:rPr>
              <w:t>Manitoba</w:t>
            </w:r>
          </w:p>
        </w:tc>
        <w:tc>
          <w:tcPr>
            <w:tcW w:w="2693" w:type="dxa"/>
          </w:tcPr>
          <w:p w:rsidR="00137DE6" w:rsidRPr="00AF1D29" w:rsidRDefault="00137DE6" w:rsidP="009D07DF">
            <w:pPr>
              <w:rPr>
                <w:b/>
              </w:rPr>
            </w:pPr>
            <w:r w:rsidRPr="00AF1D29">
              <w:rPr>
                <w:b/>
              </w:rPr>
              <w:t>Nouveau Brunswick</w:t>
            </w:r>
          </w:p>
        </w:tc>
        <w:tc>
          <w:tcPr>
            <w:tcW w:w="3001" w:type="dxa"/>
          </w:tcPr>
          <w:p w:rsidR="00137DE6" w:rsidRPr="00AF1D29" w:rsidRDefault="00137DE6" w:rsidP="009D07DF">
            <w:pPr>
              <w:rPr>
                <w:b/>
              </w:rPr>
            </w:pPr>
            <w:r w:rsidRPr="00AF1D29">
              <w:rPr>
                <w:b/>
              </w:rPr>
              <w:t>Terre-Neuve et Labrador</w:t>
            </w:r>
          </w:p>
        </w:tc>
        <w:tc>
          <w:tcPr>
            <w:tcW w:w="2620" w:type="dxa"/>
          </w:tcPr>
          <w:p w:rsidR="00137DE6" w:rsidRPr="00AF1D29" w:rsidRDefault="00137DE6" w:rsidP="009D07DF">
            <w:pPr>
              <w:rPr>
                <w:b/>
              </w:rPr>
            </w:pPr>
            <w:r w:rsidRPr="00AF1D29">
              <w:rPr>
                <w:b/>
              </w:rPr>
              <w:t>Nouvelle-Écosse</w:t>
            </w:r>
          </w:p>
        </w:tc>
      </w:tr>
      <w:tr w:rsidR="00137DE6" w:rsidRPr="00137DE6" w:rsidTr="009D07DF">
        <w:tc>
          <w:tcPr>
            <w:tcW w:w="1668" w:type="dxa"/>
          </w:tcPr>
          <w:p w:rsidR="00137DE6" w:rsidRDefault="00137DE6" w:rsidP="009D07DF">
            <w:r>
              <w:t xml:space="preserve">Autres stratégies lancées de concert avec la SRP </w:t>
            </w:r>
          </w:p>
          <w:p w:rsidR="00137DE6" w:rsidRDefault="00137DE6" w:rsidP="009D07DF"/>
        </w:tc>
        <w:tc>
          <w:tcPr>
            <w:tcW w:w="3118" w:type="dxa"/>
          </w:tcPr>
          <w:p w:rsidR="00137DE6" w:rsidRPr="00EA4F8D" w:rsidRDefault="00137DE6" w:rsidP="009D07DF">
            <w:pPr>
              <w:pStyle w:val="NoSpacing"/>
              <w:rPr>
                <w:sz w:val="18"/>
                <w:szCs w:val="18"/>
              </w:rPr>
            </w:pPr>
            <w:r w:rsidRPr="00EA4F8D">
              <w:rPr>
                <w:i/>
                <w:sz w:val="18"/>
                <w:szCs w:val="18"/>
              </w:rPr>
              <w:t>Bulletin Tout le monde à bord : Stratégie manitobaine de réduction de la pauvreté et de l’inclusion sociale</w:t>
            </w:r>
            <w:r w:rsidRPr="00EA4F8D">
              <w:rPr>
                <w:sz w:val="18"/>
                <w:szCs w:val="18"/>
              </w:rPr>
              <w:t xml:space="preserve"> (3 numéros) – 2010-2011</w:t>
            </w:r>
          </w:p>
          <w:p w:rsidR="00137DE6" w:rsidRPr="00EA4F8D" w:rsidRDefault="00137DE6" w:rsidP="009D07DF">
            <w:pPr>
              <w:pStyle w:val="NoSpacing"/>
              <w:rPr>
                <w:sz w:val="18"/>
                <w:szCs w:val="18"/>
              </w:rPr>
            </w:pPr>
            <w:r w:rsidRPr="00EA4F8D">
              <w:rPr>
                <w:sz w:val="18"/>
                <w:szCs w:val="18"/>
              </w:rPr>
              <w:t>(MA02/1 à 3)</w:t>
            </w:r>
          </w:p>
          <w:p w:rsidR="00137DE6" w:rsidRPr="00EA4F8D" w:rsidRDefault="00137DE6" w:rsidP="009D07DF">
            <w:pPr>
              <w:pStyle w:val="NoSpacing"/>
              <w:rPr>
                <w:sz w:val="18"/>
                <w:szCs w:val="18"/>
              </w:rPr>
            </w:pPr>
          </w:p>
          <w:p w:rsidR="00137DE6" w:rsidRPr="00EA4F8D" w:rsidRDefault="00137DE6" w:rsidP="009D07DF">
            <w:pPr>
              <w:pStyle w:val="NoSpacing"/>
              <w:rPr>
                <w:sz w:val="18"/>
                <w:szCs w:val="18"/>
              </w:rPr>
            </w:pPr>
            <w:proofErr w:type="spellStart"/>
            <w:r w:rsidRPr="00EA4F8D">
              <w:rPr>
                <w:sz w:val="18"/>
                <w:szCs w:val="18"/>
              </w:rPr>
              <w:t>FoyersClés</w:t>
            </w:r>
            <w:proofErr w:type="spellEnd"/>
            <w:r w:rsidRPr="00EA4F8D">
              <w:rPr>
                <w:sz w:val="18"/>
                <w:szCs w:val="18"/>
              </w:rPr>
              <w:t> : Investir dans les communautés </w:t>
            </w:r>
            <w:proofErr w:type="gramStart"/>
            <w:r w:rsidRPr="00EA4F8D">
              <w:rPr>
                <w:sz w:val="18"/>
                <w:szCs w:val="18"/>
              </w:rPr>
              <w:t>:  Plan</w:t>
            </w:r>
            <w:proofErr w:type="gramEnd"/>
            <w:r w:rsidRPr="00EA4F8D">
              <w:rPr>
                <w:sz w:val="18"/>
                <w:szCs w:val="18"/>
              </w:rPr>
              <w:t xml:space="preserve"> de deux ans.  Notre engagement accru.  Printemps 2010 (MA04)</w:t>
            </w:r>
          </w:p>
          <w:p w:rsidR="00137DE6" w:rsidRPr="00EA4F8D" w:rsidRDefault="00137DE6" w:rsidP="009D07DF">
            <w:pPr>
              <w:pStyle w:val="NoSpacing"/>
              <w:rPr>
                <w:sz w:val="18"/>
                <w:szCs w:val="18"/>
              </w:rPr>
            </w:pPr>
          </w:p>
          <w:p w:rsidR="00137DE6" w:rsidRPr="00EA4F8D" w:rsidRDefault="00137DE6" w:rsidP="009D07DF">
            <w:pPr>
              <w:pStyle w:val="NoSpacing"/>
              <w:rPr>
                <w:sz w:val="18"/>
                <w:szCs w:val="18"/>
              </w:rPr>
            </w:pPr>
            <w:r w:rsidRPr="00EA4F8D">
              <w:rPr>
                <w:sz w:val="18"/>
                <w:szCs w:val="18"/>
              </w:rPr>
              <w:t>Ouvrir les portes </w:t>
            </w:r>
            <w:proofErr w:type="gramStart"/>
            <w:r w:rsidRPr="00EA4F8D">
              <w:rPr>
                <w:sz w:val="18"/>
                <w:szCs w:val="18"/>
              </w:rPr>
              <w:t>:  Engagement</w:t>
            </w:r>
            <w:proofErr w:type="gramEnd"/>
            <w:r w:rsidRPr="00EA4F8D">
              <w:rPr>
                <w:sz w:val="18"/>
                <w:szCs w:val="18"/>
              </w:rPr>
              <w:t xml:space="preserve"> du Manitoba à l’égard des Manitobaines et des Manitobains handicapés. 2009 (MA05)</w:t>
            </w:r>
          </w:p>
          <w:p w:rsidR="00137DE6" w:rsidRDefault="00137DE6" w:rsidP="009D07DF"/>
        </w:tc>
        <w:tc>
          <w:tcPr>
            <w:tcW w:w="2693" w:type="dxa"/>
          </w:tcPr>
          <w:p w:rsidR="00137DE6" w:rsidRPr="00137DE6" w:rsidRDefault="00137DE6" w:rsidP="009D07DF">
            <w:pPr>
              <w:rPr>
                <w:sz w:val="20"/>
                <w:szCs w:val="20"/>
              </w:rPr>
            </w:pPr>
            <w:r w:rsidRPr="00137DE6">
              <w:rPr>
                <w:sz w:val="20"/>
                <w:szCs w:val="20"/>
              </w:rPr>
              <w:t>Plan d’action pour la santé mentale au Nouveau Brunswick, 2011-2018 (NB04)</w:t>
            </w:r>
          </w:p>
          <w:p w:rsidR="00137DE6" w:rsidRPr="00137DE6" w:rsidRDefault="00137DE6" w:rsidP="009D07DF">
            <w:pPr>
              <w:rPr>
                <w:sz w:val="20"/>
                <w:szCs w:val="20"/>
              </w:rPr>
            </w:pPr>
          </w:p>
          <w:p w:rsidR="00137DE6" w:rsidRPr="00137DE6" w:rsidRDefault="00137DE6" w:rsidP="009D07DF">
            <w:pPr>
              <w:rPr>
                <w:sz w:val="20"/>
                <w:szCs w:val="20"/>
              </w:rPr>
            </w:pPr>
            <w:r w:rsidRPr="00137DE6">
              <w:rPr>
                <w:sz w:val="20"/>
                <w:szCs w:val="20"/>
              </w:rPr>
              <w:t>Un foyer, c’est l’espoir – Nouvelle stratégie de logement au Nouveau Brunswick</w:t>
            </w:r>
          </w:p>
        </w:tc>
        <w:tc>
          <w:tcPr>
            <w:tcW w:w="3001" w:type="dxa"/>
          </w:tcPr>
          <w:p w:rsidR="00137DE6" w:rsidRPr="00137DE6" w:rsidRDefault="00137DE6" w:rsidP="009D07DF">
            <w:pPr>
              <w:rPr>
                <w:sz w:val="18"/>
                <w:szCs w:val="18"/>
                <w:lang w:val="en-CA"/>
              </w:rPr>
            </w:pPr>
            <w:proofErr w:type="spellStart"/>
            <w:r w:rsidRPr="00C6058C">
              <w:rPr>
                <w:sz w:val="18"/>
                <w:szCs w:val="18"/>
              </w:rPr>
              <w:t>Government</w:t>
            </w:r>
            <w:proofErr w:type="spellEnd"/>
            <w:r w:rsidRPr="00C6058C">
              <w:rPr>
                <w:sz w:val="18"/>
                <w:szCs w:val="18"/>
              </w:rPr>
              <w:t xml:space="preserve"> of Newfoundland and Labrador Programs and Services for </w:t>
            </w:r>
            <w:proofErr w:type="spellStart"/>
            <w:r w:rsidRPr="00C6058C">
              <w:rPr>
                <w:sz w:val="18"/>
                <w:szCs w:val="18"/>
              </w:rPr>
              <w:t>Individuals</w:t>
            </w:r>
            <w:proofErr w:type="spellEnd"/>
            <w:r w:rsidRPr="00C6058C">
              <w:rPr>
                <w:sz w:val="18"/>
                <w:szCs w:val="18"/>
              </w:rPr>
              <w:t xml:space="preserve"> and (Initiative de la stratégie de réduction de la pauvreté) (NL04) Mise sur pied afin d’améliorer l’accès et la compréhension des services gouvernementaux.  </w:t>
            </w:r>
            <w:r w:rsidRPr="00137DE6">
              <w:rPr>
                <w:sz w:val="18"/>
                <w:szCs w:val="18"/>
                <w:lang w:val="en-CA"/>
              </w:rPr>
              <w:t>2</w:t>
            </w:r>
            <w:r w:rsidRPr="00137DE6">
              <w:rPr>
                <w:sz w:val="18"/>
                <w:szCs w:val="18"/>
                <w:vertAlign w:val="superscript"/>
                <w:lang w:val="en-CA"/>
              </w:rPr>
              <w:t>ème</w:t>
            </w:r>
            <w:r w:rsidRPr="00137DE6">
              <w:rPr>
                <w:sz w:val="18"/>
                <w:szCs w:val="18"/>
                <w:lang w:val="en-CA"/>
              </w:rPr>
              <w:t xml:space="preserve"> </w:t>
            </w:r>
            <w:proofErr w:type="spellStart"/>
            <w:r w:rsidRPr="00137DE6">
              <w:rPr>
                <w:sz w:val="18"/>
                <w:szCs w:val="18"/>
                <w:lang w:val="en-CA"/>
              </w:rPr>
              <w:t>édition</w:t>
            </w:r>
            <w:proofErr w:type="spellEnd"/>
            <w:r w:rsidRPr="00137DE6">
              <w:rPr>
                <w:sz w:val="18"/>
                <w:szCs w:val="18"/>
                <w:lang w:val="en-CA"/>
              </w:rPr>
              <w:t>.</w:t>
            </w:r>
          </w:p>
          <w:p w:rsidR="00137DE6" w:rsidRPr="00137DE6" w:rsidRDefault="00137DE6" w:rsidP="009D07DF">
            <w:pPr>
              <w:rPr>
                <w:sz w:val="18"/>
                <w:szCs w:val="18"/>
                <w:lang w:val="en-CA"/>
              </w:rPr>
            </w:pPr>
          </w:p>
          <w:p w:rsidR="00137DE6" w:rsidRPr="00C6058C" w:rsidRDefault="00137DE6" w:rsidP="009D07DF">
            <w:pPr>
              <w:rPr>
                <w:sz w:val="20"/>
                <w:szCs w:val="20"/>
                <w:lang w:val="en-CA"/>
              </w:rPr>
            </w:pPr>
            <w:r w:rsidRPr="00C6058C">
              <w:rPr>
                <w:sz w:val="18"/>
                <w:szCs w:val="18"/>
                <w:lang w:val="en-CA"/>
              </w:rPr>
              <w:t xml:space="preserve">Plan </w:t>
            </w:r>
            <w:proofErr w:type="spellStart"/>
            <w:r w:rsidRPr="00C6058C">
              <w:rPr>
                <w:sz w:val="18"/>
                <w:szCs w:val="18"/>
                <w:lang w:val="en-CA"/>
              </w:rPr>
              <w:t>d’action</w:t>
            </w:r>
            <w:proofErr w:type="spellEnd"/>
            <w:r w:rsidRPr="00C6058C">
              <w:rPr>
                <w:sz w:val="18"/>
                <w:szCs w:val="18"/>
                <w:lang w:val="en-CA"/>
              </w:rPr>
              <w:t xml:space="preserve"> du Provincial Advisory Council for the Inclusion of Persons with Disabilities.  </w:t>
            </w:r>
            <w:proofErr w:type="spellStart"/>
            <w:r w:rsidRPr="00C6058C">
              <w:rPr>
                <w:sz w:val="18"/>
                <w:szCs w:val="18"/>
                <w:lang w:val="en-CA"/>
              </w:rPr>
              <w:t>Année</w:t>
            </w:r>
            <w:proofErr w:type="spellEnd"/>
            <w:r w:rsidRPr="00C6058C">
              <w:rPr>
                <w:sz w:val="18"/>
                <w:szCs w:val="18"/>
                <w:lang w:val="en-CA"/>
              </w:rPr>
              <w:t xml:space="preserve"> </w:t>
            </w:r>
            <w:proofErr w:type="spellStart"/>
            <w:r w:rsidRPr="00C6058C">
              <w:rPr>
                <w:sz w:val="18"/>
                <w:szCs w:val="18"/>
                <w:lang w:val="en-CA"/>
              </w:rPr>
              <w:t>financière</w:t>
            </w:r>
            <w:proofErr w:type="spellEnd"/>
            <w:r w:rsidRPr="00C6058C">
              <w:rPr>
                <w:sz w:val="18"/>
                <w:szCs w:val="18"/>
                <w:lang w:val="en-CA"/>
              </w:rPr>
              <w:t xml:space="preserve"> 2010/2011 (NL03)</w:t>
            </w:r>
          </w:p>
        </w:tc>
        <w:tc>
          <w:tcPr>
            <w:tcW w:w="2620" w:type="dxa"/>
          </w:tcPr>
          <w:p w:rsidR="00137DE6" w:rsidRPr="00137DE6" w:rsidRDefault="00137DE6" w:rsidP="009D07DF">
            <w:pPr>
              <w:rPr>
                <w:sz w:val="18"/>
                <w:szCs w:val="18"/>
              </w:rPr>
            </w:pPr>
            <w:r w:rsidRPr="00137DE6">
              <w:rPr>
                <w:sz w:val="18"/>
                <w:szCs w:val="18"/>
              </w:rPr>
              <w:t xml:space="preserve">La Mental </w:t>
            </w:r>
            <w:proofErr w:type="spellStart"/>
            <w:r w:rsidRPr="00137DE6">
              <w:rPr>
                <w:sz w:val="18"/>
                <w:szCs w:val="18"/>
              </w:rPr>
              <w:t>Health</w:t>
            </w:r>
            <w:proofErr w:type="spellEnd"/>
            <w:r w:rsidRPr="00137DE6">
              <w:rPr>
                <w:sz w:val="18"/>
                <w:szCs w:val="18"/>
              </w:rPr>
              <w:t xml:space="preserve"> and Addiction </w:t>
            </w:r>
            <w:proofErr w:type="spellStart"/>
            <w:r w:rsidRPr="00137DE6">
              <w:rPr>
                <w:sz w:val="18"/>
                <w:szCs w:val="18"/>
              </w:rPr>
              <w:t>Strategy</w:t>
            </w:r>
            <w:proofErr w:type="spellEnd"/>
            <w:r w:rsidRPr="00137DE6">
              <w:rPr>
                <w:sz w:val="18"/>
                <w:szCs w:val="18"/>
              </w:rPr>
              <w:t xml:space="preserve"> a été lancée en 2011 </w:t>
            </w:r>
            <w:proofErr w:type="gramStart"/>
            <w:r w:rsidRPr="00137DE6">
              <w:rPr>
                <w:sz w:val="18"/>
                <w:szCs w:val="18"/>
              </w:rPr>
              <w:t>:  le</w:t>
            </w:r>
            <w:proofErr w:type="gramEnd"/>
            <w:r w:rsidRPr="00137DE6">
              <w:rPr>
                <w:sz w:val="18"/>
                <w:szCs w:val="18"/>
              </w:rPr>
              <w:t xml:space="preserve"> ministère de la Santé (DHW) et du Bien-être, la Nova </w:t>
            </w:r>
            <w:proofErr w:type="spellStart"/>
            <w:r w:rsidRPr="00137DE6">
              <w:rPr>
                <w:sz w:val="18"/>
                <w:szCs w:val="18"/>
              </w:rPr>
              <w:t>Scotia</w:t>
            </w:r>
            <w:proofErr w:type="spellEnd"/>
            <w:r w:rsidRPr="00137DE6">
              <w:rPr>
                <w:sz w:val="18"/>
                <w:szCs w:val="18"/>
              </w:rPr>
              <w:t xml:space="preserve"> </w:t>
            </w:r>
            <w:proofErr w:type="spellStart"/>
            <w:r w:rsidRPr="00137DE6">
              <w:rPr>
                <w:sz w:val="18"/>
                <w:szCs w:val="18"/>
              </w:rPr>
              <w:t>Health</w:t>
            </w:r>
            <w:proofErr w:type="spellEnd"/>
            <w:r w:rsidRPr="00137DE6">
              <w:rPr>
                <w:sz w:val="18"/>
                <w:szCs w:val="18"/>
              </w:rPr>
              <w:t xml:space="preserve"> </w:t>
            </w:r>
            <w:proofErr w:type="spellStart"/>
            <w:r w:rsidRPr="00137DE6">
              <w:rPr>
                <w:sz w:val="18"/>
                <w:szCs w:val="18"/>
              </w:rPr>
              <w:t>Research</w:t>
            </w:r>
            <w:proofErr w:type="spellEnd"/>
            <w:r w:rsidRPr="00137DE6">
              <w:rPr>
                <w:sz w:val="18"/>
                <w:szCs w:val="18"/>
              </w:rPr>
              <w:t xml:space="preserve">  </w:t>
            </w:r>
            <w:proofErr w:type="spellStart"/>
            <w:r w:rsidRPr="00137DE6">
              <w:rPr>
                <w:sz w:val="18"/>
                <w:szCs w:val="18"/>
              </w:rPr>
              <w:t>Foundation</w:t>
            </w:r>
            <w:proofErr w:type="spellEnd"/>
            <w:r w:rsidRPr="00137DE6">
              <w:rPr>
                <w:sz w:val="18"/>
                <w:szCs w:val="18"/>
              </w:rPr>
              <w:t xml:space="preserve"> (NSHRF) et le Mental </w:t>
            </w:r>
            <w:proofErr w:type="spellStart"/>
            <w:r w:rsidRPr="00137DE6">
              <w:rPr>
                <w:sz w:val="18"/>
                <w:szCs w:val="18"/>
              </w:rPr>
              <w:t>Health</w:t>
            </w:r>
            <w:proofErr w:type="spellEnd"/>
            <w:r w:rsidRPr="00137DE6">
              <w:rPr>
                <w:sz w:val="18"/>
                <w:szCs w:val="18"/>
              </w:rPr>
              <w:t xml:space="preserve"> and Addictions </w:t>
            </w:r>
            <w:proofErr w:type="spellStart"/>
            <w:r w:rsidRPr="00137DE6">
              <w:rPr>
                <w:sz w:val="18"/>
                <w:szCs w:val="18"/>
              </w:rPr>
              <w:t>Strategy</w:t>
            </w:r>
            <w:proofErr w:type="spellEnd"/>
            <w:r w:rsidRPr="00137DE6">
              <w:rPr>
                <w:sz w:val="18"/>
                <w:szCs w:val="18"/>
              </w:rPr>
              <w:t xml:space="preserve"> </w:t>
            </w:r>
            <w:proofErr w:type="spellStart"/>
            <w:r w:rsidRPr="00137DE6">
              <w:rPr>
                <w:sz w:val="18"/>
                <w:szCs w:val="18"/>
              </w:rPr>
              <w:t>Advisory</w:t>
            </w:r>
            <w:proofErr w:type="spellEnd"/>
            <w:r w:rsidRPr="00137DE6">
              <w:rPr>
                <w:sz w:val="18"/>
                <w:szCs w:val="18"/>
              </w:rPr>
              <w:t xml:space="preserve"> </w:t>
            </w:r>
            <w:proofErr w:type="spellStart"/>
            <w:r w:rsidRPr="00137DE6">
              <w:rPr>
                <w:sz w:val="18"/>
                <w:szCs w:val="18"/>
              </w:rPr>
              <w:t>Committee</w:t>
            </w:r>
            <w:proofErr w:type="spellEnd"/>
            <w:r w:rsidRPr="00137DE6">
              <w:rPr>
                <w:sz w:val="18"/>
                <w:szCs w:val="18"/>
              </w:rPr>
              <w:t xml:space="preserve"> collaborent à la mise sur pied d’une stratégie de santé et de toxicomanie afin de mieux répondre aux besoins des Néo-Écossais. </w:t>
            </w:r>
            <w:r>
              <w:rPr>
                <w:sz w:val="18"/>
                <w:szCs w:val="18"/>
              </w:rPr>
              <w:t>(NS07)</w:t>
            </w:r>
          </w:p>
        </w:tc>
      </w:tr>
      <w:tr w:rsidR="00137DE6" w:rsidTr="009D07DF">
        <w:tc>
          <w:tcPr>
            <w:tcW w:w="1668" w:type="dxa"/>
          </w:tcPr>
          <w:p w:rsidR="00137DE6" w:rsidRDefault="00137DE6" w:rsidP="009D07DF">
            <w:r>
              <w:t>Initiatives en matière de logement</w:t>
            </w:r>
          </w:p>
        </w:tc>
        <w:tc>
          <w:tcPr>
            <w:tcW w:w="3118" w:type="dxa"/>
          </w:tcPr>
          <w:p w:rsidR="00137DE6" w:rsidRPr="00EA4F8D" w:rsidRDefault="00137DE6" w:rsidP="009D07DF">
            <w:pPr>
              <w:rPr>
                <w:sz w:val="20"/>
                <w:szCs w:val="20"/>
              </w:rPr>
            </w:pPr>
            <w:r w:rsidRPr="00EA4F8D">
              <w:rPr>
                <w:sz w:val="20"/>
                <w:szCs w:val="20"/>
              </w:rPr>
              <w:t>Jusqu’à 200 $/mois de supplément au loyer pour 600 Manitobains à faible revenu, ayant des problèmes de santé mentale et vivant dans des logements instables.  (MA05, p.12)</w:t>
            </w:r>
          </w:p>
        </w:tc>
        <w:tc>
          <w:tcPr>
            <w:tcW w:w="2693" w:type="dxa"/>
          </w:tcPr>
          <w:p w:rsidR="00137DE6" w:rsidRPr="00F641E7" w:rsidRDefault="00137DE6" w:rsidP="009D07DF">
            <w:pPr>
              <w:autoSpaceDE w:val="0"/>
              <w:autoSpaceDN w:val="0"/>
              <w:adjustRightInd w:val="0"/>
              <w:rPr>
                <w:rFonts w:cs="MyriadPro-Regular"/>
                <w:sz w:val="18"/>
                <w:szCs w:val="18"/>
              </w:rPr>
            </w:pPr>
            <w:r w:rsidRPr="00F641E7">
              <w:rPr>
                <w:sz w:val="18"/>
                <w:szCs w:val="18"/>
              </w:rPr>
              <w:t xml:space="preserve">Programme fédéral-provincial de réparations pour personnes handicapées - </w:t>
            </w:r>
            <w:r w:rsidRPr="00F641E7">
              <w:rPr>
                <w:rFonts w:cs="MyriadPro-Regular"/>
                <w:sz w:val="18"/>
                <w:szCs w:val="18"/>
              </w:rPr>
              <w:t>Offre aux propriétaires de maisons ou d’unités locatives une aide pour effectuer les modifications visant à améliorer l’accessibilité du logement aux occupants handicapés. (NB05, p.28)</w:t>
            </w:r>
          </w:p>
          <w:p w:rsidR="00137DE6" w:rsidRPr="00F641E7" w:rsidRDefault="00137DE6" w:rsidP="009D07DF">
            <w:pPr>
              <w:autoSpaceDE w:val="0"/>
              <w:autoSpaceDN w:val="0"/>
              <w:adjustRightInd w:val="0"/>
              <w:rPr>
                <w:rFonts w:cs="MyriadPro-Regular"/>
                <w:sz w:val="18"/>
                <w:szCs w:val="18"/>
              </w:rPr>
            </w:pPr>
          </w:p>
          <w:p w:rsidR="00137DE6" w:rsidRPr="00F641E7" w:rsidRDefault="00137DE6" w:rsidP="009D07DF">
            <w:pPr>
              <w:autoSpaceDE w:val="0"/>
              <w:autoSpaceDN w:val="0"/>
              <w:adjustRightInd w:val="0"/>
              <w:rPr>
                <w:sz w:val="20"/>
                <w:szCs w:val="20"/>
              </w:rPr>
            </w:pPr>
            <w:r w:rsidRPr="00F641E7">
              <w:rPr>
                <w:rFonts w:cs="MyriadPro-Regular"/>
                <w:sz w:val="18"/>
                <w:szCs w:val="18"/>
              </w:rPr>
              <w:t>Collaboration soutenue avec  le bureau du médiateur provincial des loyers afin de déterminer les moyens de surveiller les progrès réalisés après la modification de la Loi sur la location des locaux d’habitation le 2 avril 2010.  Les modifications stipulent que les pensionnaires et les colocataires ont les mêmes droits que les locataires  d’autres unités locatives (NB03, p.6)</w:t>
            </w:r>
          </w:p>
        </w:tc>
        <w:tc>
          <w:tcPr>
            <w:tcW w:w="3001" w:type="dxa"/>
          </w:tcPr>
          <w:p w:rsidR="00137DE6" w:rsidRPr="00AF1D29" w:rsidRDefault="00137DE6" w:rsidP="009D07DF">
            <w:pPr>
              <w:rPr>
                <w:sz w:val="18"/>
                <w:szCs w:val="18"/>
              </w:rPr>
            </w:pPr>
            <w:r>
              <w:rPr>
                <w:sz w:val="18"/>
                <w:szCs w:val="18"/>
              </w:rPr>
              <w:t xml:space="preserve">Du budget de 2006 à celui de 2009, 592 000 $ supplémentaires ont été alloués pour l’environnement de huit centres communautaires de Terre-Neuve et Labrador (NL </w:t>
            </w:r>
            <w:proofErr w:type="spellStart"/>
            <w:r>
              <w:rPr>
                <w:sz w:val="18"/>
                <w:szCs w:val="18"/>
              </w:rPr>
              <w:t>Housing</w:t>
            </w:r>
            <w:proofErr w:type="spellEnd"/>
            <w:r>
              <w:rPr>
                <w:sz w:val="18"/>
                <w:szCs w:val="18"/>
              </w:rPr>
              <w:t>).  Ces centres permettent aux locataires de participer à des programmes sociaux, éducatifs, récréatifs, d’emploi, de développement</w:t>
            </w:r>
            <w:r w:rsidR="0053315B">
              <w:rPr>
                <w:sz w:val="18"/>
                <w:szCs w:val="18"/>
              </w:rPr>
              <w:t xml:space="preserve">  </w:t>
            </w:r>
            <w:proofErr w:type="spellStart"/>
            <w:r w:rsidR="0053315B">
              <w:rPr>
                <w:sz w:val="18"/>
                <w:szCs w:val="18"/>
              </w:rPr>
              <w:t xml:space="preserve">d </w:t>
            </w:r>
            <w:r>
              <w:rPr>
                <w:sz w:val="18"/>
                <w:szCs w:val="18"/>
              </w:rPr>
              <w:t>e</w:t>
            </w:r>
            <w:proofErr w:type="spellEnd"/>
            <w:r>
              <w:rPr>
                <w:sz w:val="18"/>
                <w:szCs w:val="18"/>
              </w:rPr>
              <w:t xml:space="preserve"> carrières, de santé et de bien-être.  En plus d’associer  les locataires et les  programmes en cours,  ils développent de nouveaux programmes pour répondre aux besoins de leurs collectivités. (NL01, p.7)</w:t>
            </w:r>
          </w:p>
        </w:tc>
        <w:tc>
          <w:tcPr>
            <w:tcW w:w="2620" w:type="dxa"/>
          </w:tcPr>
          <w:p w:rsidR="00137DE6" w:rsidRPr="00137DE6" w:rsidRDefault="00137DE6" w:rsidP="009D07DF">
            <w:pPr>
              <w:pStyle w:val="NoSpacing"/>
              <w:rPr>
                <w:sz w:val="20"/>
                <w:szCs w:val="20"/>
              </w:rPr>
            </w:pPr>
            <w:r w:rsidRPr="00137DE6">
              <w:rPr>
                <w:sz w:val="20"/>
                <w:szCs w:val="20"/>
              </w:rPr>
              <w:t>En 2011 – 825 000 $ pour intensifier la vie autonome; 400 000 $ pour des logements avec mesures de soutien</w:t>
            </w:r>
            <w:r>
              <w:rPr>
                <w:sz w:val="20"/>
                <w:szCs w:val="20"/>
              </w:rPr>
              <w:t xml:space="preserve"> (</w:t>
            </w:r>
            <w:proofErr w:type="spellStart"/>
            <w:r>
              <w:rPr>
                <w:sz w:val="20"/>
                <w:szCs w:val="20"/>
              </w:rPr>
              <w:t>sans-abrisme</w:t>
            </w:r>
            <w:proofErr w:type="spellEnd"/>
            <w:r>
              <w:rPr>
                <w:sz w:val="20"/>
                <w:szCs w:val="20"/>
              </w:rPr>
              <w:t>/santé mentale) (NS06)</w:t>
            </w:r>
          </w:p>
        </w:tc>
      </w:tr>
    </w:tbl>
    <w:p w:rsidR="00AB3A7D" w:rsidRDefault="00AB3A7D" w:rsidP="00137DE6">
      <w:pPr>
        <w:pStyle w:val="NoSpacing"/>
        <w:rPr>
          <w:b/>
        </w:rPr>
      </w:pPr>
    </w:p>
    <w:p w:rsidR="00137DE6" w:rsidRPr="00EA4F8D" w:rsidRDefault="00137DE6" w:rsidP="00137DE6">
      <w:pPr>
        <w:pStyle w:val="NoSpacing"/>
        <w:rPr>
          <w:b/>
        </w:rPr>
      </w:pPr>
      <w:r w:rsidRPr="00EA4F8D">
        <w:rPr>
          <w:b/>
        </w:rPr>
        <w:t xml:space="preserve">Annexe 2 – </w:t>
      </w:r>
      <w:r w:rsidR="002832BF">
        <w:rPr>
          <w:b/>
        </w:rPr>
        <w:t xml:space="preserve">Activités et initiatives sélectionnées des </w:t>
      </w:r>
      <w:r w:rsidR="002832BF" w:rsidRPr="00EA4F8D">
        <w:rPr>
          <w:b/>
        </w:rPr>
        <w:t>SRP</w:t>
      </w:r>
    </w:p>
    <w:p w:rsidR="00137DE6" w:rsidRPr="001A05CA" w:rsidRDefault="00137DE6" w:rsidP="00137DE6">
      <w:pPr>
        <w:pStyle w:val="NoSpacing"/>
      </w:pPr>
    </w:p>
    <w:tbl>
      <w:tblPr>
        <w:tblStyle w:val="TableGrid"/>
        <w:tblW w:w="0" w:type="auto"/>
        <w:tblLook w:val="04A0" w:firstRow="1" w:lastRow="0" w:firstColumn="1" w:lastColumn="0" w:noHBand="0" w:noVBand="1"/>
      </w:tblPr>
      <w:tblGrid>
        <w:gridCol w:w="1668"/>
        <w:gridCol w:w="3118"/>
        <w:gridCol w:w="2693"/>
        <w:gridCol w:w="3001"/>
        <w:gridCol w:w="2620"/>
      </w:tblGrid>
      <w:tr w:rsidR="00137DE6" w:rsidTr="009D07DF">
        <w:tc>
          <w:tcPr>
            <w:tcW w:w="1668" w:type="dxa"/>
          </w:tcPr>
          <w:p w:rsidR="00137DE6" w:rsidRDefault="00137DE6" w:rsidP="009D07DF"/>
        </w:tc>
        <w:tc>
          <w:tcPr>
            <w:tcW w:w="3118" w:type="dxa"/>
          </w:tcPr>
          <w:p w:rsidR="00137DE6" w:rsidRPr="00AF1D29" w:rsidRDefault="00137DE6" w:rsidP="009D07DF">
            <w:pPr>
              <w:rPr>
                <w:b/>
              </w:rPr>
            </w:pPr>
            <w:r w:rsidRPr="00AF1D29">
              <w:rPr>
                <w:b/>
              </w:rPr>
              <w:t>Manitoba</w:t>
            </w:r>
          </w:p>
        </w:tc>
        <w:tc>
          <w:tcPr>
            <w:tcW w:w="2693" w:type="dxa"/>
          </w:tcPr>
          <w:p w:rsidR="00137DE6" w:rsidRPr="00AF1D29" w:rsidRDefault="00137DE6" w:rsidP="009D07DF">
            <w:pPr>
              <w:rPr>
                <w:b/>
              </w:rPr>
            </w:pPr>
            <w:r w:rsidRPr="00AF1D29">
              <w:rPr>
                <w:b/>
              </w:rPr>
              <w:t>Nouveau Brunswick</w:t>
            </w:r>
          </w:p>
        </w:tc>
        <w:tc>
          <w:tcPr>
            <w:tcW w:w="3001" w:type="dxa"/>
          </w:tcPr>
          <w:p w:rsidR="00137DE6" w:rsidRPr="00AF1D29" w:rsidRDefault="00137DE6" w:rsidP="009D07DF">
            <w:pPr>
              <w:rPr>
                <w:b/>
              </w:rPr>
            </w:pPr>
            <w:r w:rsidRPr="00AF1D29">
              <w:rPr>
                <w:b/>
              </w:rPr>
              <w:t>Terre-Neuve et Labrador</w:t>
            </w:r>
          </w:p>
        </w:tc>
        <w:tc>
          <w:tcPr>
            <w:tcW w:w="2620" w:type="dxa"/>
          </w:tcPr>
          <w:p w:rsidR="00137DE6" w:rsidRPr="00AF1D29" w:rsidRDefault="00137DE6" w:rsidP="009D07DF">
            <w:pPr>
              <w:rPr>
                <w:b/>
              </w:rPr>
            </w:pPr>
            <w:r w:rsidRPr="00AF1D29">
              <w:rPr>
                <w:b/>
              </w:rPr>
              <w:t>Nouvelle-Écosse</w:t>
            </w:r>
          </w:p>
        </w:tc>
      </w:tr>
      <w:tr w:rsidR="00137DE6" w:rsidTr="009D07DF">
        <w:tc>
          <w:tcPr>
            <w:tcW w:w="1668" w:type="dxa"/>
          </w:tcPr>
          <w:p w:rsidR="00137DE6" w:rsidRPr="0053315B" w:rsidRDefault="00137DE6" w:rsidP="009D07DF">
            <w:pPr>
              <w:rPr>
                <w:b/>
              </w:rPr>
            </w:pPr>
            <w:r w:rsidRPr="0053315B">
              <w:rPr>
                <w:b/>
              </w:rPr>
              <w:t>Initiatives en matière de logement</w:t>
            </w:r>
          </w:p>
          <w:p w:rsidR="00137DE6" w:rsidRDefault="00137DE6" w:rsidP="009D07DF">
            <w:r w:rsidRPr="0053315B">
              <w:rPr>
                <w:b/>
              </w:rPr>
              <w:t>(suite)</w:t>
            </w:r>
          </w:p>
        </w:tc>
        <w:tc>
          <w:tcPr>
            <w:tcW w:w="3118" w:type="dxa"/>
          </w:tcPr>
          <w:p w:rsidR="00137DE6" w:rsidRPr="00EA4F8D" w:rsidRDefault="003935C5" w:rsidP="003935C5">
            <w:pPr>
              <w:rPr>
                <w:sz w:val="20"/>
                <w:szCs w:val="20"/>
              </w:rPr>
            </w:pPr>
            <w:r>
              <w:rPr>
                <w:sz w:val="20"/>
                <w:szCs w:val="20"/>
              </w:rPr>
              <w:t xml:space="preserve">En tant que mesure palliative  jusque ce que des logements abordables deviennent admissibles, l’Allocation pour loyer  apportera 60$/mois d’aide supplémentaires aux bénéficiaires de l’aide à l’emploi et au revenu demeurant dans un logement  privé.  Anciennement appelée Aide manitobaine </w:t>
            </w:r>
            <w:r w:rsidR="00202656">
              <w:rPr>
                <w:sz w:val="20"/>
                <w:szCs w:val="20"/>
              </w:rPr>
              <w:t>au logement, ce programme représente une augmentation de 120 $/an.  Les personnes handicapées y sont déclarées admissibles.  (MA02/3, p.2)</w:t>
            </w:r>
          </w:p>
        </w:tc>
        <w:tc>
          <w:tcPr>
            <w:tcW w:w="2693" w:type="dxa"/>
          </w:tcPr>
          <w:p w:rsidR="00137DE6" w:rsidRPr="00F641E7" w:rsidRDefault="00D12CBD" w:rsidP="000F52CC">
            <w:pPr>
              <w:autoSpaceDE w:val="0"/>
              <w:autoSpaceDN w:val="0"/>
              <w:adjustRightInd w:val="0"/>
              <w:rPr>
                <w:sz w:val="20"/>
                <w:szCs w:val="20"/>
              </w:rPr>
            </w:pPr>
            <w:r>
              <w:rPr>
                <w:sz w:val="20"/>
                <w:szCs w:val="20"/>
              </w:rPr>
              <w:t xml:space="preserve">Depuis le lancement du cadre provincial pour les sans-abris, </w:t>
            </w:r>
            <w:r w:rsidR="000F52CC">
              <w:rPr>
                <w:sz w:val="20"/>
                <w:szCs w:val="20"/>
              </w:rPr>
              <w:t xml:space="preserve">« Un foyer c’est l’espoir », des fonds provisoires ont été accordés à six refuges pour des programmes visant à éradiquer le </w:t>
            </w:r>
            <w:proofErr w:type="spellStart"/>
            <w:r w:rsidR="000F52CC">
              <w:rPr>
                <w:sz w:val="20"/>
                <w:szCs w:val="20"/>
              </w:rPr>
              <w:t>sans-abrisme</w:t>
            </w:r>
            <w:proofErr w:type="spellEnd"/>
            <w:r w:rsidR="000F52CC">
              <w:rPr>
                <w:sz w:val="20"/>
                <w:szCs w:val="20"/>
              </w:rPr>
              <w:t xml:space="preserve"> chronique.  Ainsi, 225 182 $ de fonds supplémentaires ont été alloués et l’élaboration d’une nouvelle formule de financement à long terme des refuges est actuellement en cours.  (NB03)</w:t>
            </w:r>
          </w:p>
        </w:tc>
        <w:tc>
          <w:tcPr>
            <w:tcW w:w="3001" w:type="dxa"/>
          </w:tcPr>
          <w:p w:rsidR="00137DE6" w:rsidRPr="00AF1D29" w:rsidRDefault="00DF5368" w:rsidP="00376550">
            <w:pPr>
              <w:rPr>
                <w:sz w:val="18"/>
                <w:szCs w:val="18"/>
              </w:rPr>
            </w:pPr>
            <w:r>
              <w:rPr>
                <w:sz w:val="18"/>
                <w:szCs w:val="18"/>
              </w:rPr>
              <w:t xml:space="preserve">La formule « loyer proportionné </w:t>
            </w:r>
            <w:r w:rsidR="00BD3E97">
              <w:rPr>
                <w:sz w:val="18"/>
                <w:szCs w:val="18"/>
              </w:rPr>
              <w:t xml:space="preserve">au </w:t>
            </w:r>
            <w:r>
              <w:rPr>
                <w:sz w:val="18"/>
                <w:szCs w:val="18"/>
              </w:rPr>
              <w:t xml:space="preserve">revenu » du NL </w:t>
            </w:r>
            <w:proofErr w:type="spellStart"/>
            <w:r>
              <w:rPr>
                <w:sz w:val="18"/>
                <w:szCs w:val="18"/>
              </w:rPr>
              <w:t>Housing</w:t>
            </w:r>
            <w:proofErr w:type="spellEnd"/>
            <w:r w:rsidR="00376550">
              <w:rPr>
                <w:sz w:val="18"/>
                <w:szCs w:val="18"/>
              </w:rPr>
              <w:t xml:space="preserve">  </w:t>
            </w:r>
            <w:r>
              <w:rPr>
                <w:sz w:val="18"/>
                <w:szCs w:val="18"/>
              </w:rPr>
              <w:t>a été modifiée pour les locataires de logements sociaux ayant des gains tirés de l’emploi.  En 2006, le loyer a été  réduit puisque son calcul est passé  du revenu brut au revenu net;  il a été réduit davantage en 2009 pour se stabiliser à 25% du revenu au lieu d’un pourcentage fluctuant de 25 à 30%.  (NL01, p.12).</w:t>
            </w:r>
          </w:p>
        </w:tc>
        <w:tc>
          <w:tcPr>
            <w:tcW w:w="2620" w:type="dxa"/>
          </w:tcPr>
          <w:p w:rsidR="00137DE6" w:rsidRPr="00137DE6" w:rsidRDefault="00DF5368" w:rsidP="009D07DF">
            <w:pPr>
              <w:pStyle w:val="NoSpacing"/>
              <w:rPr>
                <w:sz w:val="20"/>
                <w:szCs w:val="20"/>
              </w:rPr>
            </w:pPr>
            <w:r>
              <w:rPr>
                <w:sz w:val="20"/>
                <w:szCs w:val="20"/>
              </w:rPr>
              <w:t xml:space="preserve">A modifié sa politique </w:t>
            </w:r>
            <w:r w:rsidR="00AB3A7D">
              <w:rPr>
                <w:sz w:val="20"/>
                <w:szCs w:val="20"/>
              </w:rPr>
              <w:t>de cohabitation, relevant de l’aide sociale, afin de permettre aux familles de bâtir des relations stables sans perdre leur soutien. (NS 08)</w:t>
            </w:r>
          </w:p>
        </w:tc>
      </w:tr>
    </w:tbl>
    <w:p w:rsidR="00137DE6" w:rsidRDefault="00137DE6" w:rsidP="00137DE6"/>
    <w:p w:rsidR="00AB3A7D" w:rsidRDefault="00AB3A7D" w:rsidP="00137DE6"/>
    <w:p w:rsidR="00AB3A7D" w:rsidRDefault="00AB3A7D" w:rsidP="00137DE6"/>
    <w:p w:rsidR="00AB3A7D" w:rsidRDefault="00AB3A7D" w:rsidP="00137DE6"/>
    <w:p w:rsidR="00AB3A7D" w:rsidRDefault="00AB3A7D" w:rsidP="00137DE6"/>
    <w:p w:rsidR="00AB3A7D" w:rsidRDefault="00AB3A7D" w:rsidP="00137DE6"/>
    <w:p w:rsidR="00AB3A7D" w:rsidRDefault="00AB3A7D" w:rsidP="00137DE6"/>
    <w:p w:rsidR="00AB3A7D" w:rsidRDefault="00AB3A7D" w:rsidP="00137DE6"/>
    <w:p w:rsidR="00AB3A7D" w:rsidRDefault="00AB3A7D" w:rsidP="00137DE6"/>
    <w:p w:rsidR="0053315B" w:rsidRDefault="0053315B" w:rsidP="00AB3A7D">
      <w:pPr>
        <w:pStyle w:val="NoSpacing"/>
        <w:rPr>
          <w:b/>
        </w:rPr>
      </w:pPr>
    </w:p>
    <w:p w:rsidR="00AB3A7D" w:rsidRPr="00EA4F8D" w:rsidRDefault="00AB3A7D" w:rsidP="00AB3A7D">
      <w:pPr>
        <w:pStyle w:val="NoSpacing"/>
        <w:rPr>
          <w:b/>
        </w:rPr>
      </w:pPr>
      <w:r w:rsidRPr="00EA4F8D">
        <w:rPr>
          <w:b/>
        </w:rPr>
        <w:t xml:space="preserve">Annexe 2 – </w:t>
      </w:r>
      <w:r w:rsidR="002832BF">
        <w:rPr>
          <w:b/>
        </w:rPr>
        <w:t xml:space="preserve">Activités et initiatives sélectionnées des </w:t>
      </w:r>
      <w:r w:rsidR="002832BF" w:rsidRPr="00EA4F8D">
        <w:rPr>
          <w:b/>
        </w:rPr>
        <w:t>SRP</w:t>
      </w:r>
    </w:p>
    <w:p w:rsidR="00AB3A7D" w:rsidRPr="001A05CA" w:rsidRDefault="00AB3A7D" w:rsidP="00AB3A7D">
      <w:pPr>
        <w:pStyle w:val="NoSpacing"/>
      </w:pPr>
    </w:p>
    <w:tbl>
      <w:tblPr>
        <w:tblStyle w:val="TableGrid"/>
        <w:tblW w:w="0" w:type="auto"/>
        <w:tblLook w:val="04A0" w:firstRow="1" w:lastRow="0" w:firstColumn="1" w:lastColumn="0" w:noHBand="0" w:noVBand="1"/>
      </w:tblPr>
      <w:tblGrid>
        <w:gridCol w:w="1668"/>
        <w:gridCol w:w="2976"/>
        <w:gridCol w:w="2835"/>
        <w:gridCol w:w="3001"/>
        <w:gridCol w:w="2620"/>
      </w:tblGrid>
      <w:tr w:rsidR="00AB3A7D" w:rsidTr="00A2194B">
        <w:tc>
          <w:tcPr>
            <w:tcW w:w="1668" w:type="dxa"/>
          </w:tcPr>
          <w:p w:rsidR="00AB3A7D" w:rsidRDefault="00AB3A7D" w:rsidP="009D07DF"/>
        </w:tc>
        <w:tc>
          <w:tcPr>
            <w:tcW w:w="2976" w:type="dxa"/>
          </w:tcPr>
          <w:p w:rsidR="00AB3A7D" w:rsidRPr="00AF1D29" w:rsidRDefault="00AB3A7D" w:rsidP="009D07DF">
            <w:pPr>
              <w:rPr>
                <w:b/>
              </w:rPr>
            </w:pPr>
            <w:r w:rsidRPr="00AF1D29">
              <w:rPr>
                <w:b/>
              </w:rPr>
              <w:t>Manitoba</w:t>
            </w:r>
          </w:p>
        </w:tc>
        <w:tc>
          <w:tcPr>
            <w:tcW w:w="2835" w:type="dxa"/>
          </w:tcPr>
          <w:p w:rsidR="00AB3A7D" w:rsidRPr="00AF1D29" w:rsidRDefault="00AB3A7D" w:rsidP="009D07DF">
            <w:pPr>
              <w:rPr>
                <w:b/>
              </w:rPr>
            </w:pPr>
            <w:r w:rsidRPr="00AF1D29">
              <w:rPr>
                <w:b/>
              </w:rPr>
              <w:t>Nouveau Brunswick</w:t>
            </w:r>
          </w:p>
        </w:tc>
        <w:tc>
          <w:tcPr>
            <w:tcW w:w="3001" w:type="dxa"/>
          </w:tcPr>
          <w:p w:rsidR="00AB3A7D" w:rsidRPr="00AF1D29" w:rsidRDefault="00AB3A7D" w:rsidP="009D07DF">
            <w:pPr>
              <w:rPr>
                <w:b/>
              </w:rPr>
            </w:pPr>
            <w:r w:rsidRPr="00AF1D29">
              <w:rPr>
                <w:b/>
              </w:rPr>
              <w:t>Terre-Neuve et Labrador</w:t>
            </w:r>
          </w:p>
        </w:tc>
        <w:tc>
          <w:tcPr>
            <w:tcW w:w="2620" w:type="dxa"/>
          </w:tcPr>
          <w:p w:rsidR="00AB3A7D" w:rsidRPr="00AF1D29" w:rsidRDefault="00AB3A7D" w:rsidP="009D07DF">
            <w:pPr>
              <w:rPr>
                <w:b/>
              </w:rPr>
            </w:pPr>
            <w:r w:rsidRPr="00AF1D29">
              <w:rPr>
                <w:b/>
              </w:rPr>
              <w:t>Nouvelle-Écosse</w:t>
            </w:r>
          </w:p>
        </w:tc>
      </w:tr>
      <w:tr w:rsidR="00AB3A7D" w:rsidTr="00A2194B">
        <w:tc>
          <w:tcPr>
            <w:tcW w:w="1668" w:type="dxa"/>
          </w:tcPr>
          <w:p w:rsidR="00AB3A7D" w:rsidRPr="0053315B" w:rsidRDefault="00AB3A7D" w:rsidP="00AB3A7D">
            <w:pPr>
              <w:rPr>
                <w:b/>
              </w:rPr>
            </w:pPr>
            <w:r w:rsidRPr="0053315B">
              <w:rPr>
                <w:b/>
              </w:rPr>
              <w:t>Supprimer les facteurs de dissuasion</w:t>
            </w:r>
          </w:p>
        </w:tc>
        <w:tc>
          <w:tcPr>
            <w:tcW w:w="2976" w:type="dxa"/>
          </w:tcPr>
          <w:p w:rsidR="00AB3A7D" w:rsidRDefault="005B064E" w:rsidP="005B064E">
            <w:pPr>
              <w:rPr>
                <w:sz w:val="20"/>
                <w:szCs w:val="20"/>
              </w:rPr>
            </w:pPr>
            <w:r>
              <w:rPr>
                <w:sz w:val="20"/>
                <w:szCs w:val="20"/>
              </w:rPr>
              <w:t>Programme « Travail profitable </w:t>
            </w:r>
            <w:proofErr w:type="gramStart"/>
            <w:r>
              <w:rPr>
                <w:sz w:val="20"/>
                <w:szCs w:val="20"/>
              </w:rPr>
              <w:t>:  Soyez</w:t>
            </w:r>
            <w:proofErr w:type="gramEnd"/>
            <w:r>
              <w:rPr>
                <w:sz w:val="20"/>
                <w:szCs w:val="20"/>
              </w:rPr>
              <w:t xml:space="preserve"> prêt »!  Paiement ponctuel pour les personnes n’ayant plus besoin d’aide au revenu après avoir trouvé un emploi.  Les paiements varient de 175 $ pour les adultes célibataires non handicapés et pour les couples avec ou sans enfant, à 250 $ pour les personnes monoparentales et 325 $ pour les personnes handicapées.  Ces fonds doivent servir à couvrir les dépenses inattendues en milieu de  travail.   Ce montant s’ajoute aux allocations  pour dépenses liées à l’emploi, comme les vêtements de travail et les transports que doivent débourser les prestataires de l’AER lorsqu’elles retournent dans le marché du travail. (MA02/p.4) </w:t>
            </w:r>
          </w:p>
          <w:p w:rsidR="0053315B" w:rsidRDefault="0053315B" w:rsidP="005B064E">
            <w:pPr>
              <w:rPr>
                <w:sz w:val="20"/>
                <w:szCs w:val="20"/>
              </w:rPr>
            </w:pPr>
          </w:p>
          <w:p w:rsidR="0053315B" w:rsidRPr="00EA4F8D" w:rsidRDefault="0053315B" w:rsidP="005B064E">
            <w:pPr>
              <w:rPr>
                <w:sz w:val="20"/>
                <w:szCs w:val="20"/>
              </w:rPr>
            </w:pPr>
            <w:r>
              <w:rPr>
                <w:sz w:val="20"/>
                <w:szCs w:val="20"/>
              </w:rPr>
              <w:t>Les bénéficiaires de l’AER peuvent solliciter une bourse pour étudiants canadiens,  accordant jusqu’à 3 000 $ par année scolaire aux étudiants de familles à faible revenu. (MA 02/p.4)</w:t>
            </w:r>
          </w:p>
        </w:tc>
        <w:tc>
          <w:tcPr>
            <w:tcW w:w="2835" w:type="dxa"/>
          </w:tcPr>
          <w:p w:rsidR="00AB3A7D" w:rsidRPr="00F641E7" w:rsidRDefault="00707C55" w:rsidP="00BD3E97">
            <w:pPr>
              <w:autoSpaceDE w:val="0"/>
              <w:autoSpaceDN w:val="0"/>
              <w:adjustRightInd w:val="0"/>
              <w:rPr>
                <w:sz w:val="20"/>
                <w:szCs w:val="20"/>
              </w:rPr>
            </w:pPr>
            <w:r>
              <w:rPr>
                <w:sz w:val="20"/>
                <w:szCs w:val="20"/>
              </w:rPr>
              <w:t xml:space="preserve">Le Comité </w:t>
            </w:r>
            <w:proofErr w:type="spellStart"/>
            <w:r>
              <w:rPr>
                <w:sz w:val="20"/>
                <w:szCs w:val="20"/>
              </w:rPr>
              <w:t>aviseur</w:t>
            </w:r>
            <w:proofErr w:type="spellEnd"/>
            <w:r>
              <w:rPr>
                <w:sz w:val="20"/>
                <w:szCs w:val="20"/>
              </w:rPr>
              <w:t xml:space="preserve"> sur la réforme de l’aide sociale acquiert une connaissance en profondeur du système d’aide sociale, des taux d’imposition marginaux, des interdépendances et des meilleures pratiques appliquées sur la scène internationale </w:t>
            </w:r>
            <w:r w:rsidR="00DA7A54">
              <w:rPr>
                <w:sz w:val="20"/>
                <w:szCs w:val="20"/>
              </w:rPr>
              <w:t xml:space="preserve">dans le but de fournir des commentaires et des recommandations  sur les changements proposés conformément au Plan Tous ensemble pour vaincre la pauvreté.  </w:t>
            </w:r>
            <w:r w:rsidR="00BD3E97">
              <w:rPr>
                <w:sz w:val="20"/>
                <w:szCs w:val="20"/>
              </w:rPr>
              <w:t>Lors de rencontres qui auront lieu en mars et en avril, le Comité se concentrera sur l’examen des secteurs de compétences et sur les taux d’imposition marginaux.  En mai, il se lancera dans les évaluations des options de refonte proposées.  (NB03, p.4)</w:t>
            </w:r>
            <w:r w:rsidR="00DA7A54">
              <w:rPr>
                <w:sz w:val="20"/>
                <w:szCs w:val="20"/>
              </w:rPr>
              <w:t xml:space="preserve"> </w:t>
            </w:r>
          </w:p>
        </w:tc>
        <w:tc>
          <w:tcPr>
            <w:tcW w:w="3001" w:type="dxa"/>
          </w:tcPr>
          <w:p w:rsidR="00AB3A7D" w:rsidRDefault="00BD3E97" w:rsidP="00D16633">
            <w:pPr>
              <w:rPr>
                <w:sz w:val="18"/>
                <w:szCs w:val="18"/>
              </w:rPr>
            </w:pPr>
            <w:r>
              <w:rPr>
                <w:sz w:val="18"/>
                <w:szCs w:val="18"/>
              </w:rPr>
              <w:t xml:space="preserve">Une famille, comme celle de John et Yvonne (en vedette dans la section « Profils », page 33 de ce rapport), où les deux adultes travaillent, continue à percevoir des prestations qui réduisent d’environ 5 350 $ par an, les  dépenses quotidiennes en  nécessités de la vie.  </w:t>
            </w:r>
            <w:r w:rsidR="00D16633">
              <w:rPr>
                <w:sz w:val="18"/>
                <w:szCs w:val="18"/>
              </w:rPr>
              <w:t xml:space="preserve"> </w:t>
            </w:r>
            <w:r>
              <w:rPr>
                <w:sz w:val="18"/>
                <w:szCs w:val="18"/>
              </w:rPr>
              <w:t xml:space="preserve">En 2003, ces deux personnes  n’auraient pas eu droit à ces prestations si </w:t>
            </w:r>
            <w:r w:rsidR="00D16633">
              <w:rPr>
                <w:sz w:val="18"/>
                <w:szCs w:val="18"/>
              </w:rPr>
              <w:t xml:space="preserve">elles avaient travaillé.  Par conséquent, ces prestations combinées à d’autres changements ont provoqué une augmentation de leur  revenu net (après coûts) </w:t>
            </w:r>
            <w:r>
              <w:rPr>
                <w:sz w:val="18"/>
                <w:szCs w:val="18"/>
              </w:rPr>
              <w:t xml:space="preserve"> </w:t>
            </w:r>
            <w:r w:rsidR="00D16633">
              <w:rPr>
                <w:sz w:val="18"/>
                <w:szCs w:val="18"/>
              </w:rPr>
              <w:t>d’emploi qui est pas</w:t>
            </w:r>
            <w:r w:rsidR="00153FDB">
              <w:rPr>
                <w:sz w:val="18"/>
                <w:szCs w:val="18"/>
              </w:rPr>
              <w:t>s</w:t>
            </w:r>
            <w:r w:rsidR="00D16633">
              <w:rPr>
                <w:sz w:val="18"/>
                <w:szCs w:val="18"/>
              </w:rPr>
              <w:t xml:space="preserve">é de  22 206 $ en 2003 à 29 712 $ en 2009. </w:t>
            </w:r>
            <w:r>
              <w:rPr>
                <w:sz w:val="18"/>
                <w:szCs w:val="18"/>
              </w:rPr>
              <w:t xml:space="preserve"> </w:t>
            </w:r>
            <w:r w:rsidR="00D16633">
              <w:rPr>
                <w:sz w:val="18"/>
                <w:szCs w:val="18"/>
              </w:rPr>
              <w:t xml:space="preserve"> Ce qui signifie qu’ils engrangent désormais </w:t>
            </w:r>
            <w:r w:rsidR="00A2194B">
              <w:rPr>
                <w:sz w:val="18"/>
                <w:szCs w:val="18"/>
              </w:rPr>
              <w:t>7 500 $ de plus (en dollars constants de 2009 pour contrôler l’inflation).  (NL01, p.7)</w:t>
            </w:r>
          </w:p>
          <w:p w:rsidR="00A2194B" w:rsidRDefault="00A2194B" w:rsidP="00D16633">
            <w:pPr>
              <w:rPr>
                <w:sz w:val="18"/>
                <w:szCs w:val="18"/>
              </w:rPr>
            </w:pPr>
          </w:p>
          <w:p w:rsidR="00A2194B" w:rsidRPr="00AF1D29" w:rsidRDefault="00A2194B" w:rsidP="003E5641">
            <w:pPr>
              <w:rPr>
                <w:sz w:val="18"/>
                <w:szCs w:val="18"/>
              </w:rPr>
            </w:pPr>
            <w:r>
              <w:rPr>
                <w:sz w:val="18"/>
                <w:szCs w:val="18"/>
              </w:rPr>
              <w:t xml:space="preserve">Depuis le 31 </w:t>
            </w:r>
            <w:r w:rsidR="003E5641">
              <w:rPr>
                <w:sz w:val="18"/>
                <w:szCs w:val="18"/>
              </w:rPr>
              <w:t xml:space="preserve">mars 2009, plus de 32 000 personnes supplémentaires sont couvertes par le Programme de médicaments sur ordonnance de Terre-Neuve et Labrador. Cette aide vient soutenir les personnes à faibles salaires et éradique, pour les prestataires du soutien du revenu,  un important facteur financier les dissuadant de retourner dans le marché du travail.  </w:t>
            </w:r>
          </w:p>
        </w:tc>
        <w:tc>
          <w:tcPr>
            <w:tcW w:w="2620" w:type="dxa"/>
          </w:tcPr>
          <w:p w:rsidR="00AB3A7D" w:rsidRDefault="00153FDB" w:rsidP="00153FDB">
            <w:pPr>
              <w:pStyle w:val="NoSpacing"/>
              <w:rPr>
                <w:sz w:val="20"/>
                <w:szCs w:val="20"/>
              </w:rPr>
            </w:pPr>
            <w:r>
              <w:rPr>
                <w:sz w:val="20"/>
                <w:szCs w:val="20"/>
              </w:rPr>
              <w:t>Depuis juillet 2011, les bénéficiaires de la prestation invalidité de l’Aide au revenu,  émargeant aux services de soutien à l’emploi, conservent les premiers 300 $, double du taux actuel,  plus 30 pour cent des gains restants.  (NS04)</w:t>
            </w:r>
          </w:p>
          <w:p w:rsidR="00153FDB" w:rsidRDefault="00153FDB" w:rsidP="00153FDB">
            <w:pPr>
              <w:pStyle w:val="NoSpacing"/>
              <w:rPr>
                <w:sz w:val="20"/>
                <w:szCs w:val="20"/>
              </w:rPr>
            </w:pPr>
          </w:p>
          <w:p w:rsidR="00153FDB" w:rsidRPr="00137DE6" w:rsidRDefault="00153FDB" w:rsidP="00153FDB">
            <w:pPr>
              <w:pStyle w:val="NoSpacing"/>
              <w:rPr>
                <w:sz w:val="20"/>
                <w:szCs w:val="20"/>
              </w:rPr>
            </w:pPr>
            <w:r>
              <w:rPr>
                <w:sz w:val="20"/>
                <w:szCs w:val="20"/>
              </w:rPr>
              <w:t>Le Programme de soutien à l’emploi et d’aide au revenu exempte désormais la Prestation fiscale pour revenu de travail et le Régime enregistré d’épargne invalidité (NS03, p.24)</w:t>
            </w:r>
          </w:p>
        </w:tc>
      </w:tr>
    </w:tbl>
    <w:p w:rsidR="00AB3A7D" w:rsidRDefault="00AB3A7D" w:rsidP="00137DE6"/>
    <w:p w:rsidR="00AB3A7D" w:rsidRDefault="00AB3A7D" w:rsidP="00137DE6"/>
    <w:p w:rsidR="00137DE6" w:rsidRDefault="00137DE6" w:rsidP="00137DE6">
      <w:pPr>
        <w:pStyle w:val="NoSpacing"/>
        <w:rPr>
          <w:b/>
        </w:rPr>
      </w:pPr>
    </w:p>
    <w:p w:rsidR="00F9047B" w:rsidRPr="00EA4F8D" w:rsidRDefault="00F9047B" w:rsidP="00F9047B">
      <w:pPr>
        <w:pStyle w:val="NoSpacing"/>
        <w:rPr>
          <w:b/>
        </w:rPr>
      </w:pPr>
      <w:r w:rsidRPr="00EA4F8D">
        <w:rPr>
          <w:b/>
        </w:rPr>
        <w:t xml:space="preserve">Annexe 2 – </w:t>
      </w:r>
      <w:r w:rsidR="002832BF">
        <w:rPr>
          <w:b/>
        </w:rPr>
        <w:t xml:space="preserve">Activités et initiatives sélectionnées des </w:t>
      </w:r>
      <w:r w:rsidRPr="00EA4F8D">
        <w:rPr>
          <w:b/>
        </w:rPr>
        <w:t xml:space="preserve">SRP </w:t>
      </w:r>
    </w:p>
    <w:p w:rsidR="00F9047B" w:rsidRPr="001A05CA" w:rsidRDefault="00F9047B" w:rsidP="00F9047B">
      <w:pPr>
        <w:pStyle w:val="NoSpacing"/>
      </w:pPr>
    </w:p>
    <w:tbl>
      <w:tblPr>
        <w:tblStyle w:val="TableGrid"/>
        <w:tblW w:w="0" w:type="auto"/>
        <w:tblLook w:val="04A0" w:firstRow="1" w:lastRow="0" w:firstColumn="1" w:lastColumn="0" w:noHBand="0" w:noVBand="1"/>
      </w:tblPr>
      <w:tblGrid>
        <w:gridCol w:w="1668"/>
        <w:gridCol w:w="2976"/>
        <w:gridCol w:w="2835"/>
        <w:gridCol w:w="3001"/>
        <w:gridCol w:w="2620"/>
      </w:tblGrid>
      <w:tr w:rsidR="00F9047B" w:rsidTr="009D07DF">
        <w:tc>
          <w:tcPr>
            <w:tcW w:w="1668" w:type="dxa"/>
          </w:tcPr>
          <w:p w:rsidR="00F9047B" w:rsidRDefault="00F9047B" w:rsidP="009D07DF"/>
        </w:tc>
        <w:tc>
          <w:tcPr>
            <w:tcW w:w="2976" w:type="dxa"/>
          </w:tcPr>
          <w:p w:rsidR="00F9047B" w:rsidRPr="00AF1D29" w:rsidRDefault="00F9047B" w:rsidP="009D07DF">
            <w:pPr>
              <w:rPr>
                <w:b/>
              </w:rPr>
            </w:pPr>
            <w:r w:rsidRPr="00AF1D29">
              <w:rPr>
                <w:b/>
              </w:rPr>
              <w:t>Manitoba</w:t>
            </w:r>
          </w:p>
        </w:tc>
        <w:tc>
          <w:tcPr>
            <w:tcW w:w="2835" w:type="dxa"/>
          </w:tcPr>
          <w:p w:rsidR="00F9047B" w:rsidRPr="00AF1D29" w:rsidRDefault="00F9047B" w:rsidP="009D07DF">
            <w:pPr>
              <w:rPr>
                <w:b/>
              </w:rPr>
            </w:pPr>
            <w:r w:rsidRPr="00AF1D29">
              <w:rPr>
                <w:b/>
              </w:rPr>
              <w:t>Nouveau Brunswick</w:t>
            </w:r>
          </w:p>
        </w:tc>
        <w:tc>
          <w:tcPr>
            <w:tcW w:w="3001" w:type="dxa"/>
          </w:tcPr>
          <w:p w:rsidR="00F9047B" w:rsidRPr="00AF1D29" w:rsidRDefault="00F9047B" w:rsidP="009D07DF">
            <w:pPr>
              <w:rPr>
                <w:b/>
              </w:rPr>
            </w:pPr>
            <w:r w:rsidRPr="00AF1D29">
              <w:rPr>
                <w:b/>
              </w:rPr>
              <w:t>Terre-Neuve et Labrador</w:t>
            </w:r>
          </w:p>
        </w:tc>
        <w:tc>
          <w:tcPr>
            <w:tcW w:w="2620" w:type="dxa"/>
          </w:tcPr>
          <w:p w:rsidR="00F9047B" w:rsidRPr="00AF1D29" w:rsidRDefault="00F9047B" w:rsidP="009D07DF">
            <w:pPr>
              <w:rPr>
                <w:b/>
              </w:rPr>
            </w:pPr>
            <w:r w:rsidRPr="00AF1D29">
              <w:rPr>
                <w:b/>
              </w:rPr>
              <w:t>Nouvelle-Écosse</w:t>
            </w:r>
          </w:p>
        </w:tc>
      </w:tr>
      <w:tr w:rsidR="00F9047B" w:rsidTr="009D07DF">
        <w:tc>
          <w:tcPr>
            <w:tcW w:w="1668" w:type="dxa"/>
          </w:tcPr>
          <w:p w:rsidR="00F9047B" w:rsidRDefault="00F9047B" w:rsidP="00F9047B">
            <w:pPr>
              <w:rPr>
                <w:b/>
              </w:rPr>
            </w:pPr>
            <w:r>
              <w:rPr>
                <w:b/>
              </w:rPr>
              <w:t>Sécurité du revenu</w:t>
            </w:r>
          </w:p>
          <w:p w:rsidR="00F9047B" w:rsidRDefault="00F9047B" w:rsidP="00F9047B">
            <w:pPr>
              <w:rPr>
                <w:b/>
              </w:rPr>
            </w:pPr>
          </w:p>
          <w:p w:rsidR="00F9047B" w:rsidRDefault="00F9047B" w:rsidP="00F9047B">
            <w:pPr>
              <w:rPr>
                <w:b/>
              </w:rPr>
            </w:pPr>
          </w:p>
          <w:p w:rsidR="00F9047B" w:rsidRDefault="00F9047B" w:rsidP="00F9047B">
            <w:pPr>
              <w:rPr>
                <w:b/>
              </w:rPr>
            </w:pPr>
          </w:p>
          <w:p w:rsidR="00F9047B" w:rsidRDefault="00F9047B" w:rsidP="00F9047B">
            <w:pPr>
              <w:rPr>
                <w:b/>
              </w:rPr>
            </w:pPr>
          </w:p>
          <w:p w:rsidR="00F9047B" w:rsidRDefault="00F9047B" w:rsidP="00F9047B">
            <w:pPr>
              <w:rPr>
                <w:b/>
              </w:rPr>
            </w:pPr>
          </w:p>
          <w:p w:rsidR="00F9047B" w:rsidRDefault="00F9047B" w:rsidP="00F9047B">
            <w:pPr>
              <w:rPr>
                <w:b/>
              </w:rPr>
            </w:pPr>
          </w:p>
          <w:p w:rsidR="00F9047B" w:rsidRPr="0053315B" w:rsidRDefault="00F9047B" w:rsidP="00F9047B">
            <w:pPr>
              <w:rPr>
                <w:b/>
              </w:rPr>
            </w:pPr>
          </w:p>
        </w:tc>
        <w:tc>
          <w:tcPr>
            <w:tcW w:w="2976" w:type="dxa"/>
          </w:tcPr>
          <w:p w:rsidR="00F9047B" w:rsidRPr="00EA4F8D" w:rsidRDefault="003555AC" w:rsidP="009D07DF">
            <w:pPr>
              <w:rPr>
                <w:sz w:val="20"/>
                <w:szCs w:val="20"/>
              </w:rPr>
            </w:pPr>
            <w:r>
              <w:rPr>
                <w:sz w:val="20"/>
                <w:szCs w:val="20"/>
              </w:rPr>
              <w:t xml:space="preserve">L’indemnité de service septentrional de 2006, accordée pour vivre dans des régions éloignées désignées, s’élève à 92,28$/an pour une personne seule handicapée.  Ce programme est complété par l’Initiative d’alimentation saine dans le Nord (IASN) et par la prestation pour coûts d’énergie dans le Nord </w:t>
            </w:r>
            <w:proofErr w:type="gramStart"/>
            <w:r>
              <w:rPr>
                <w:sz w:val="20"/>
                <w:szCs w:val="20"/>
              </w:rPr>
              <w:t>( PCEN</w:t>
            </w:r>
            <w:proofErr w:type="gramEnd"/>
            <w:r>
              <w:rPr>
                <w:sz w:val="20"/>
                <w:szCs w:val="20"/>
              </w:rPr>
              <w:t xml:space="preserve"> - 25 $/mois) pour compenser l’augmentation de ces coûts énergétiques. (MA02/3, p.3)</w:t>
            </w:r>
          </w:p>
        </w:tc>
        <w:tc>
          <w:tcPr>
            <w:tcW w:w="2835" w:type="dxa"/>
          </w:tcPr>
          <w:p w:rsidR="00F9047B" w:rsidRPr="00F641E7" w:rsidRDefault="003555AC" w:rsidP="009D07DF">
            <w:pPr>
              <w:autoSpaceDE w:val="0"/>
              <w:autoSpaceDN w:val="0"/>
              <w:adjustRightInd w:val="0"/>
              <w:rPr>
                <w:sz w:val="20"/>
                <w:szCs w:val="20"/>
              </w:rPr>
            </w:pPr>
            <w:r>
              <w:rPr>
                <w:sz w:val="20"/>
                <w:szCs w:val="20"/>
              </w:rPr>
              <w:t xml:space="preserve">Avec l’élimination du taux provisoire, </w:t>
            </w:r>
            <w:r w:rsidR="00446E0D">
              <w:rPr>
                <w:sz w:val="20"/>
                <w:szCs w:val="20"/>
              </w:rPr>
              <w:t xml:space="preserve">les personnes anciennement visées par cette mesure reçoivent désormais une prestation mensuelle plus élevée – d’autre part, un plus grand nombre de personnes – notamment de personnes employables, se qualifie désormais pour l’aide sociale (NB03, p.5) </w:t>
            </w:r>
          </w:p>
        </w:tc>
        <w:tc>
          <w:tcPr>
            <w:tcW w:w="3001" w:type="dxa"/>
          </w:tcPr>
          <w:p w:rsidR="00F9047B" w:rsidRPr="00AF1D29" w:rsidRDefault="00446E0D" w:rsidP="00CA4E66">
            <w:pPr>
              <w:rPr>
                <w:sz w:val="18"/>
                <w:szCs w:val="18"/>
              </w:rPr>
            </w:pPr>
            <w:r>
              <w:rPr>
                <w:sz w:val="18"/>
                <w:szCs w:val="18"/>
              </w:rPr>
              <w:t xml:space="preserve">..Le Mother Baby Nutrition </w:t>
            </w:r>
            <w:proofErr w:type="spellStart"/>
            <w:r>
              <w:rPr>
                <w:sz w:val="18"/>
                <w:szCs w:val="18"/>
              </w:rPr>
              <w:t>Supplement</w:t>
            </w:r>
            <w:proofErr w:type="spellEnd"/>
            <w:r>
              <w:rPr>
                <w:sz w:val="18"/>
                <w:szCs w:val="18"/>
              </w:rPr>
              <w:t xml:space="preserve"> est </w:t>
            </w:r>
            <w:r w:rsidR="0019084D">
              <w:rPr>
                <w:sz w:val="18"/>
                <w:szCs w:val="18"/>
              </w:rPr>
              <w:t>une prestation me</w:t>
            </w:r>
            <w:r w:rsidR="004D3632">
              <w:rPr>
                <w:sz w:val="18"/>
                <w:szCs w:val="18"/>
              </w:rPr>
              <w:t xml:space="preserve">nsuelle pour femmes enceintes et pour familles  à faible revenu  avec enfants de moins de 12 mois.  Elle a pour but d’aider à acheter des provisions nutritives avant et après la grossesse.  Par le biais de la SRP, ce supplément mensuel a augmenté de 15 $, passant à 60 $ par mois auquel s’ajoute une allocation ponctuelle de 90 $ versée au cours du mois de naissance de l’enfant.  </w:t>
            </w:r>
            <w:r w:rsidR="00CA4E66">
              <w:rPr>
                <w:sz w:val="18"/>
                <w:szCs w:val="18"/>
              </w:rPr>
              <w:t>En 2008-2009,  1 200 familles ont reçu tous les mois l</w:t>
            </w:r>
            <w:r w:rsidR="004D3632">
              <w:rPr>
                <w:sz w:val="18"/>
                <w:szCs w:val="18"/>
              </w:rPr>
              <w:t xml:space="preserve">e Mother Baby Nutrition </w:t>
            </w:r>
            <w:proofErr w:type="spellStart"/>
            <w:r w:rsidR="004D3632">
              <w:rPr>
                <w:sz w:val="18"/>
                <w:szCs w:val="18"/>
              </w:rPr>
              <w:t>Supplement</w:t>
            </w:r>
            <w:proofErr w:type="spellEnd"/>
            <w:r w:rsidR="00CA4E66">
              <w:rPr>
                <w:sz w:val="18"/>
                <w:szCs w:val="18"/>
              </w:rPr>
              <w:t xml:space="preserve">.   (NL01, p.24) </w:t>
            </w:r>
          </w:p>
        </w:tc>
        <w:tc>
          <w:tcPr>
            <w:tcW w:w="2620" w:type="dxa"/>
          </w:tcPr>
          <w:p w:rsidR="00F9047B" w:rsidRPr="00137DE6" w:rsidRDefault="00CA4E66" w:rsidP="009D07DF">
            <w:pPr>
              <w:pStyle w:val="NoSpacing"/>
              <w:rPr>
                <w:sz w:val="20"/>
                <w:szCs w:val="20"/>
              </w:rPr>
            </w:pPr>
            <w:r>
              <w:rPr>
                <w:sz w:val="20"/>
                <w:szCs w:val="20"/>
              </w:rPr>
              <w:t>1</w:t>
            </w:r>
            <w:r w:rsidRPr="00CA4E66">
              <w:rPr>
                <w:sz w:val="20"/>
                <w:szCs w:val="20"/>
                <w:vertAlign w:val="superscript"/>
              </w:rPr>
              <w:t>er</w:t>
            </w:r>
            <w:r>
              <w:rPr>
                <w:sz w:val="20"/>
                <w:szCs w:val="20"/>
              </w:rPr>
              <w:t xml:space="preserve"> juillet 2011 </w:t>
            </w:r>
            <w:proofErr w:type="gramStart"/>
            <w:r>
              <w:rPr>
                <w:sz w:val="20"/>
                <w:szCs w:val="20"/>
              </w:rPr>
              <w:t>:  Augmentation</w:t>
            </w:r>
            <w:proofErr w:type="gramEnd"/>
            <w:r>
              <w:rPr>
                <w:sz w:val="20"/>
                <w:szCs w:val="20"/>
              </w:rPr>
              <w:t xml:space="preserve"> de 15 $ par mois de l’aide personnelle au revenu afin d’aider plus de 31 000 adultes à prendre soin d’eux-mêmes et de leur famille.</w:t>
            </w:r>
          </w:p>
        </w:tc>
      </w:tr>
      <w:tr w:rsidR="00F9047B" w:rsidTr="009D07DF">
        <w:tc>
          <w:tcPr>
            <w:tcW w:w="1668" w:type="dxa"/>
          </w:tcPr>
          <w:p w:rsidR="00F9047B" w:rsidRDefault="00F9047B" w:rsidP="00F9047B">
            <w:pPr>
              <w:rPr>
                <w:b/>
              </w:rPr>
            </w:pPr>
            <w:r>
              <w:rPr>
                <w:b/>
              </w:rPr>
              <w:t>Initiatives en éducation</w:t>
            </w:r>
          </w:p>
          <w:p w:rsidR="00F9047B" w:rsidRDefault="00F9047B" w:rsidP="00F9047B">
            <w:pPr>
              <w:rPr>
                <w:b/>
              </w:rPr>
            </w:pPr>
          </w:p>
          <w:p w:rsidR="00F9047B" w:rsidRDefault="00F9047B" w:rsidP="00F9047B">
            <w:pPr>
              <w:rPr>
                <w:b/>
              </w:rPr>
            </w:pPr>
          </w:p>
          <w:p w:rsidR="00F9047B" w:rsidRDefault="00F9047B" w:rsidP="00F9047B">
            <w:pPr>
              <w:rPr>
                <w:b/>
              </w:rPr>
            </w:pPr>
          </w:p>
        </w:tc>
        <w:tc>
          <w:tcPr>
            <w:tcW w:w="2976" w:type="dxa"/>
          </w:tcPr>
          <w:p w:rsidR="00F9047B" w:rsidRPr="00EA4F8D" w:rsidRDefault="00C63CE1" w:rsidP="003C308C">
            <w:pPr>
              <w:rPr>
                <w:sz w:val="20"/>
                <w:szCs w:val="20"/>
              </w:rPr>
            </w:pPr>
            <w:r>
              <w:rPr>
                <w:sz w:val="20"/>
                <w:szCs w:val="20"/>
              </w:rPr>
              <w:t xml:space="preserve">Le programme Travail profitable en éducation est un programme de stages dans la communauté qui aide jusqu’à 120 personnes qui suivent une formation appropriée à la culture à devenir des aides-enseignantes et des aides-travailleuses de garderie.  </w:t>
            </w:r>
            <w:r w:rsidR="003C308C">
              <w:rPr>
                <w:sz w:val="20"/>
                <w:szCs w:val="20"/>
              </w:rPr>
              <w:t xml:space="preserve">Le programme encouragera un plus grand nombre de  personnes  faible à  revenu, de nouveaux arrivants et d’Autochtones à obtenir une formation essentielle pour occuper des emplois importants dans les écoles et les garderies.  </w:t>
            </w:r>
          </w:p>
        </w:tc>
        <w:tc>
          <w:tcPr>
            <w:tcW w:w="2835" w:type="dxa"/>
          </w:tcPr>
          <w:p w:rsidR="00F9047B" w:rsidRPr="00F641E7" w:rsidRDefault="00FE7864" w:rsidP="00FE7864">
            <w:pPr>
              <w:autoSpaceDE w:val="0"/>
              <w:autoSpaceDN w:val="0"/>
              <w:adjustRightInd w:val="0"/>
              <w:rPr>
                <w:sz w:val="20"/>
                <w:szCs w:val="20"/>
              </w:rPr>
            </w:pPr>
            <w:r>
              <w:rPr>
                <w:sz w:val="20"/>
                <w:szCs w:val="20"/>
              </w:rPr>
              <w:t>En 2011-2012, le financement permettant d’accroître l’accès  des familles à faible revenu à l’enseignement post-secondaire a augmenté pour atteindre 1,5 millions de dollars.  Ces fonds aideront les établissements postsecondaires à développer des projets pilotes, notamment des programmes d’aide aux étudiants ayant des troubles d’apprentissage et des déficiences physiques.  (NB03, p.11)</w:t>
            </w:r>
          </w:p>
        </w:tc>
        <w:tc>
          <w:tcPr>
            <w:tcW w:w="3001" w:type="dxa"/>
          </w:tcPr>
          <w:p w:rsidR="00F9047B" w:rsidRPr="00AF1D29" w:rsidRDefault="00D01B8E" w:rsidP="00D01B8E">
            <w:pPr>
              <w:rPr>
                <w:sz w:val="18"/>
                <w:szCs w:val="18"/>
              </w:rPr>
            </w:pPr>
            <w:r>
              <w:rPr>
                <w:sz w:val="18"/>
                <w:szCs w:val="18"/>
              </w:rPr>
              <w:t xml:space="preserve">De la même façon, une prime incitative a été accordée aux jeunes prestataires du </w:t>
            </w:r>
            <w:proofErr w:type="spellStart"/>
            <w:r>
              <w:rPr>
                <w:sz w:val="18"/>
                <w:szCs w:val="18"/>
              </w:rPr>
              <w:t>Income</w:t>
            </w:r>
            <w:proofErr w:type="spellEnd"/>
            <w:r>
              <w:rPr>
                <w:sz w:val="18"/>
                <w:szCs w:val="18"/>
              </w:rPr>
              <w:t xml:space="preserve"> support, encore scolarisés vivant soit de manière autonome soit dans une famille.  Par le biais de l’</w:t>
            </w:r>
            <w:proofErr w:type="spellStart"/>
            <w:r>
              <w:rPr>
                <w:sz w:val="18"/>
                <w:szCs w:val="18"/>
              </w:rPr>
              <w:t>Income</w:t>
            </w:r>
            <w:proofErr w:type="spellEnd"/>
            <w:r>
              <w:rPr>
                <w:sz w:val="18"/>
                <w:szCs w:val="18"/>
              </w:rPr>
              <w:t xml:space="preserve"> Support Program, cette prime remplace les prestations fédérales et provinciales pour enfants  qui ne sont plus versées à partir de l’âge de 18 ans, atténuant ainsi l’obligation d’entrer dans la force active sans avoir terminé l’école secondaire. (NL 01, p.25)</w:t>
            </w:r>
          </w:p>
        </w:tc>
        <w:tc>
          <w:tcPr>
            <w:tcW w:w="2620" w:type="dxa"/>
          </w:tcPr>
          <w:p w:rsidR="00F9047B" w:rsidRPr="00137DE6" w:rsidRDefault="009D07DF" w:rsidP="009D07DF">
            <w:pPr>
              <w:pStyle w:val="NoSpacing"/>
              <w:rPr>
                <w:sz w:val="20"/>
                <w:szCs w:val="20"/>
              </w:rPr>
            </w:pPr>
            <w:r>
              <w:rPr>
                <w:sz w:val="20"/>
                <w:szCs w:val="20"/>
              </w:rPr>
              <w:t>2011 </w:t>
            </w:r>
            <w:proofErr w:type="gramStart"/>
            <w:r>
              <w:rPr>
                <w:sz w:val="20"/>
                <w:szCs w:val="20"/>
              </w:rPr>
              <w:t>:  Les</w:t>
            </w:r>
            <w:proofErr w:type="gramEnd"/>
            <w:r>
              <w:rPr>
                <w:sz w:val="20"/>
                <w:szCs w:val="20"/>
              </w:rPr>
              <w:t xml:space="preserve"> 400 000 $ injectés dans la  Nova </w:t>
            </w:r>
            <w:proofErr w:type="spellStart"/>
            <w:r>
              <w:rPr>
                <w:sz w:val="20"/>
                <w:szCs w:val="20"/>
              </w:rPr>
              <w:t>Scotia</w:t>
            </w:r>
            <w:proofErr w:type="spellEnd"/>
            <w:r>
              <w:rPr>
                <w:sz w:val="20"/>
                <w:szCs w:val="20"/>
              </w:rPr>
              <w:t xml:space="preserve"> </w:t>
            </w:r>
            <w:proofErr w:type="spellStart"/>
            <w:r>
              <w:rPr>
                <w:sz w:val="20"/>
                <w:szCs w:val="20"/>
              </w:rPr>
              <w:t>School</w:t>
            </w:r>
            <w:proofErr w:type="spellEnd"/>
            <w:r>
              <w:rPr>
                <w:sz w:val="20"/>
                <w:szCs w:val="20"/>
              </w:rPr>
              <w:t xml:space="preserve"> of </w:t>
            </w:r>
            <w:proofErr w:type="spellStart"/>
            <w:r>
              <w:rPr>
                <w:sz w:val="20"/>
                <w:szCs w:val="20"/>
              </w:rPr>
              <w:t>Adult</w:t>
            </w:r>
            <w:proofErr w:type="spellEnd"/>
            <w:r>
              <w:rPr>
                <w:sz w:val="20"/>
                <w:szCs w:val="20"/>
              </w:rPr>
              <w:t xml:space="preserve"> Learning, se sont traduits par la certification de cent (100) nouveaux assistants en soins continus qui ont intégré le marché du travail. (NS08)</w:t>
            </w:r>
          </w:p>
        </w:tc>
      </w:tr>
    </w:tbl>
    <w:p w:rsidR="00F9047B" w:rsidRDefault="00F9047B" w:rsidP="00F9047B"/>
    <w:p w:rsidR="00137DE6" w:rsidRDefault="00137DE6" w:rsidP="00137DE6">
      <w:pPr>
        <w:pStyle w:val="NoSpacing"/>
        <w:rPr>
          <w:b/>
        </w:rPr>
      </w:pPr>
    </w:p>
    <w:p w:rsidR="00137DE6" w:rsidRDefault="00137DE6" w:rsidP="00137DE6">
      <w:pPr>
        <w:pStyle w:val="NoSpacing"/>
        <w:rPr>
          <w:b/>
        </w:rPr>
      </w:pPr>
    </w:p>
    <w:p w:rsidR="009D07DF" w:rsidRPr="00EA4F8D" w:rsidRDefault="009D07DF" w:rsidP="009D07DF">
      <w:pPr>
        <w:pStyle w:val="NoSpacing"/>
        <w:rPr>
          <w:b/>
        </w:rPr>
      </w:pPr>
      <w:r w:rsidRPr="00EA4F8D">
        <w:rPr>
          <w:b/>
        </w:rPr>
        <w:t xml:space="preserve">Annexe 2 – </w:t>
      </w:r>
      <w:r w:rsidR="006857C3">
        <w:rPr>
          <w:b/>
        </w:rPr>
        <w:t xml:space="preserve">Activités et initiatives sélectionnées des </w:t>
      </w:r>
      <w:r w:rsidR="006857C3" w:rsidRPr="00EA4F8D">
        <w:rPr>
          <w:b/>
        </w:rPr>
        <w:t>SRP</w:t>
      </w:r>
    </w:p>
    <w:p w:rsidR="009D07DF" w:rsidRPr="001A05CA" w:rsidRDefault="009D07DF" w:rsidP="009D07DF">
      <w:pPr>
        <w:pStyle w:val="NoSpacing"/>
      </w:pPr>
    </w:p>
    <w:tbl>
      <w:tblPr>
        <w:tblStyle w:val="TableGrid"/>
        <w:tblW w:w="0" w:type="auto"/>
        <w:tblLook w:val="04A0" w:firstRow="1" w:lastRow="0" w:firstColumn="1" w:lastColumn="0" w:noHBand="0" w:noVBand="1"/>
      </w:tblPr>
      <w:tblGrid>
        <w:gridCol w:w="1668"/>
        <w:gridCol w:w="2976"/>
        <w:gridCol w:w="2835"/>
        <w:gridCol w:w="3001"/>
        <w:gridCol w:w="2620"/>
      </w:tblGrid>
      <w:tr w:rsidR="009D07DF" w:rsidTr="009D07DF">
        <w:tc>
          <w:tcPr>
            <w:tcW w:w="1668" w:type="dxa"/>
          </w:tcPr>
          <w:p w:rsidR="009D07DF" w:rsidRDefault="009D07DF" w:rsidP="009D07DF"/>
        </w:tc>
        <w:tc>
          <w:tcPr>
            <w:tcW w:w="2976" w:type="dxa"/>
          </w:tcPr>
          <w:p w:rsidR="009D07DF" w:rsidRPr="00AF1D29" w:rsidRDefault="009D07DF" w:rsidP="009D07DF">
            <w:pPr>
              <w:rPr>
                <w:b/>
              </w:rPr>
            </w:pPr>
            <w:r w:rsidRPr="00AF1D29">
              <w:rPr>
                <w:b/>
              </w:rPr>
              <w:t>Manitoba</w:t>
            </w:r>
          </w:p>
        </w:tc>
        <w:tc>
          <w:tcPr>
            <w:tcW w:w="2835" w:type="dxa"/>
          </w:tcPr>
          <w:p w:rsidR="009D07DF" w:rsidRPr="00AF1D29" w:rsidRDefault="009D07DF" w:rsidP="009D07DF">
            <w:pPr>
              <w:rPr>
                <w:b/>
              </w:rPr>
            </w:pPr>
            <w:r w:rsidRPr="00AF1D29">
              <w:rPr>
                <w:b/>
              </w:rPr>
              <w:t>Nouveau Brunswick</w:t>
            </w:r>
          </w:p>
        </w:tc>
        <w:tc>
          <w:tcPr>
            <w:tcW w:w="3001" w:type="dxa"/>
          </w:tcPr>
          <w:p w:rsidR="009D07DF" w:rsidRPr="00AF1D29" w:rsidRDefault="009D07DF" w:rsidP="009D07DF">
            <w:pPr>
              <w:rPr>
                <w:b/>
              </w:rPr>
            </w:pPr>
            <w:r w:rsidRPr="00AF1D29">
              <w:rPr>
                <w:b/>
              </w:rPr>
              <w:t>Terre-Neuve et Labrador</w:t>
            </w:r>
          </w:p>
        </w:tc>
        <w:tc>
          <w:tcPr>
            <w:tcW w:w="2620" w:type="dxa"/>
          </w:tcPr>
          <w:p w:rsidR="009D07DF" w:rsidRPr="00AF1D29" w:rsidRDefault="009D07DF" w:rsidP="009D07DF">
            <w:pPr>
              <w:rPr>
                <w:b/>
              </w:rPr>
            </w:pPr>
            <w:r w:rsidRPr="00AF1D29">
              <w:rPr>
                <w:b/>
              </w:rPr>
              <w:t>Nouvelle-Écosse</w:t>
            </w:r>
          </w:p>
        </w:tc>
      </w:tr>
      <w:tr w:rsidR="009D07DF" w:rsidRPr="0039725E" w:rsidTr="009D07DF">
        <w:tc>
          <w:tcPr>
            <w:tcW w:w="1668" w:type="dxa"/>
          </w:tcPr>
          <w:p w:rsidR="009D07DF" w:rsidRDefault="0039725E" w:rsidP="009D07DF">
            <w:pPr>
              <w:rPr>
                <w:b/>
              </w:rPr>
            </w:pPr>
            <w:r>
              <w:rPr>
                <w:b/>
              </w:rPr>
              <w:t>Autres types d’ini</w:t>
            </w:r>
            <w:r w:rsidR="009D07DF">
              <w:rPr>
                <w:b/>
              </w:rPr>
              <w:t xml:space="preserve">tiatives </w:t>
            </w:r>
          </w:p>
          <w:p w:rsidR="009D07DF" w:rsidRDefault="009D07DF" w:rsidP="009D07DF">
            <w:pPr>
              <w:rPr>
                <w:b/>
              </w:rPr>
            </w:pPr>
          </w:p>
          <w:p w:rsidR="009D07DF" w:rsidRDefault="009D07DF" w:rsidP="009D07DF">
            <w:pPr>
              <w:rPr>
                <w:b/>
              </w:rPr>
            </w:pPr>
          </w:p>
          <w:p w:rsidR="009D07DF" w:rsidRDefault="009D07DF" w:rsidP="009D07DF">
            <w:pPr>
              <w:rPr>
                <w:b/>
              </w:rPr>
            </w:pPr>
          </w:p>
          <w:p w:rsidR="009D07DF" w:rsidRPr="0053315B" w:rsidRDefault="009D07DF" w:rsidP="009D07DF">
            <w:pPr>
              <w:rPr>
                <w:b/>
              </w:rPr>
            </w:pPr>
          </w:p>
        </w:tc>
        <w:tc>
          <w:tcPr>
            <w:tcW w:w="2976" w:type="dxa"/>
          </w:tcPr>
          <w:p w:rsidR="009D07DF" w:rsidRDefault="0039725E" w:rsidP="0039725E">
            <w:pPr>
              <w:rPr>
                <w:sz w:val="20"/>
                <w:szCs w:val="20"/>
              </w:rPr>
            </w:pPr>
            <w:r>
              <w:rPr>
                <w:sz w:val="20"/>
                <w:szCs w:val="20"/>
              </w:rPr>
              <w:t xml:space="preserve">2008 : le gouvernement provincial a subventionné le </w:t>
            </w:r>
            <w:proofErr w:type="spellStart"/>
            <w:r>
              <w:rPr>
                <w:sz w:val="20"/>
                <w:szCs w:val="20"/>
              </w:rPr>
              <w:t>DisAbled</w:t>
            </w:r>
            <w:proofErr w:type="spellEnd"/>
            <w:r>
              <w:rPr>
                <w:sz w:val="20"/>
                <w:szCs w:val="20"/>
              </w:rPr>
              <w:t xml:space="preserve"> </w:t>
            </w:r>
            <w:proofErr w:type="spellStart"/>
            <w:r>
              <w:rPr>
                <w:sz w:val="20"/>
                <w:szCs w:val="20"/>
              </w:rPr>
              <w:t>Women’s</w:t>
            </w:r>
            <w:proofErr w:type="spellEnd"/>
            <w:r>
              <w:rPr>
                <w:sz w:val="20"/>
                <w:szCs w:val="20"/>
              </w:rPr>
              <w:t xml:space="preserve"> Network of Manitoba (DAWN Manitoba) (MA05, p.22)</w:t>
            </w:r>
          </w:p>
          <w:p w:rsidR="0039725E" w:rsidRDefault="0039725E" w:rsidP="0039725E">
            <w:pPr>
              <w:rPr>
                <w:sz w:val="20"/>
                <w:szCs w:val="20"/>
              </w:rPr>
            </w:pPr>
          </w:p>
          <w:p w:rsidR="0039725E" w:rsidRPr="00EA4F8D" w:rsidRDefault="0039725E" w:rsidP="0039725E">
            <w:pPr>
              <w:rPr>
                <w:sz w:val="20"/>
                <w:szCs w:val="20"/>
              </w:rPr>
            </w:pPr>
            <w:r>
              <w:rPr>
                <w:sz w:val="20"/>
                <w:szCs w:val="20"/>
              </w:rPr>
              <w:t>Toute une série de dépliants a été publiée en langage clair et simple sur le Programme d’aide à l’emploi et au revenu.  Ces brochures visent les personnes handicapées, les adultes sans enfant et les familles à deux parents.  Elles regroupent des renseignements généraux sur les prestations de l’AER, y compris comment soumettre une demande, les droits et responsabilités des bénéficiaires et les prestations disponibles lors du retour au travail.  (ma02/3, p.2)</w:t>
            </w:r>
          </w:p>
        </w:tc>
        <w:tc>
          <w:tcPr>
            <w:tcW w:w="2835" w:type="dxa"/>
          </w:tcPr>
          <w:p w:rsidR="009D07DF" w:rsidRDefault="0039725E" w:rsidP="009D07DF">
            <w:pPr>
              <w:autoSpaceDE w:val="0"/>
              <w:autoSpaceDN w:val="0"/>
              <w:adjustRightInd w:val="0"/>
              <w:rPr>
                <w:sz w:val="20"/>
                <w:szCs w:val="20"/>
              </w:rPr>
            </w:pPr>
            <w:r>
              <w:rPr>
                <w:sz w:val="20"/>
                <w:szCs w:val="20"/>
              </w:rPr>
              <w:t xml:space="preserve">Le gouvernement fédéral a versé 110 millions de dollars à la SCHL pour venir en aide aux sans-abri ayant des problèmes de santé mentale.  </w:t>
            </w:r>
          </w:p>
          <w:p w:rsidR="0039725E" w:rsidRDefault="0039725E" w:rsidP="0039725E">
            <w:pPr>
              <w:autoSpaceDE w:val="0"/>
              <w:autoSpaceDN w:val="0"/>
              <w:adjustRightInd w:val="0"/>
              <w:rPr>
                <w:sz w:val="20"/>
                <w:szCs w:val="20"/>
              </w:rPr>
            </w:pPr>
            <w:r>
              <w:rPr>
                <w:sz w:val="20"/>
                <w:szCs w:val="20"/>
              </w:rPr>
              <w:t>Au 7 mars 2011, le projet pilote de Moncton comptait 180 participants sur lesquels 96 avaient un foyer.  (NB05, p.33 et site Web de la SCHL).</w:t>
            </w:r>
          </w:p>
          <w:p w:rsidR="0039725E" w:rsidRDefault="0039725E" w:rsidP="0039725E">
            <w:pPr>
              <w:autoSpaceDE w:val="0"/>
              <w:autoSpaceDN w:val="0"/>
              <w:adjustRightInd w:val="0"/>
              <w:rPr>
                <w:sz w:val="20"/>
                <w:szCs w:val="20"/>
              </w:rPr>
            </w:pPr>
          </w:p>
          <w:p w:rsidR="0039725E" w:rsidRPr="00F641E7" w:rsidRDefault="0039725E" w:rsidP="0039725E">
            <w:pPr>
              <w:autoSpaceDE w:val="0"/>
              <w:autoSpaceDN w:val="0"/>
              <w:adjustRightInd w:val="0"/>
              <w:rPr>
                <w:sz w:val="20"/>
                <w:szCs w:val="20"/>
              </w:rPr>
            </w:pPr>
            <w:r>
              <w:rPr>
                <w:sz w:val="20"/>
                <w:szCs w:val="20"/>
              </w:rPr>
              <w:t>10 nov. 2010, lancement de l’initiative « Apprendre </w:t>
            </w:r>
            <w:proofErr w:type="gramStart"/>
            <w:r>
              <w:rPr>
                <w:sz w:val="20"/>
                <w:szCs w:val="20"/>
              </w:rPr>
              <w:t>:  un</w:t>
            </w:r>
            <w:proofErr w:type="gramEnd"/>
            <w:r>
              <w:rPr>
                <w:sz w:val="20"/>
                <w:szCs w:val="20"/>
              </w:rPr>
              <w:t xml:space="preserve"> projet collectif » afin de faire participer tous les habitants de la province à un processus concerté visant à déterminer la forme que prendra l’apprentissage de la culture.  Un forum provincial sera organisé au début 2012.  À ce moment- là, les citoyens de tous les secteurs du Nouveau Brunswick seront amenés à adopter un plan d’action (NB03, p.10)</w:t>
            </w:r>
          </w:p>
        </w:tc>
        <w:tc>
          <w:tcPr>
            <w:tcW w:w="3001" w:type="dxa"/>
          </w:tcPr>
          <w:p w:rsidR="009D07DF" w:rsidRPr="0039725E" w:rsidRDefault="0039725E" w:rsidP="0039725E">
            <w:pPr>
              <w:rPr>
                <w:sz w:val="18"/>
                <w:szCs w:val="18"/>
              </w:rPr>
            </w:pPr>
            <w:r>
              <w:rPr>
                <w:sz w:val="18"/>
                <w:szCs w:val="18"/>
              </w:rPr>
              <w:t>Depuis le 31 mars 2009, plus de 32 000 personnes supplémentaires sont couvertes par le Programme de médicaments sur ordonnance de Terre-Neuve et Labrador. Cette aide vient soutenir les personnes à faibles salaires et éradique, pour les prestataires du soutien du revenu,  un important facteur financier les dissuadant de retourner dans le marché du travail.  (NL01, p.14)</w:t>
            </w:r>
          </w:p>
        </w:tc>
        <w:tc>
          <w:tcPr>
            <w:tcW w:w="2620" w:type="dxa"/>
          </w:tcPr>
          <w:p w:rsidR="0039725E" w:rsidRDefault="0039725E" w:rsidP="0039725E">
            <w:pPr>
              <w:pStyle w:val="NoSpacing"/>
              <w:rPr>
                <w:sz w:val="20"/>
                <w:szCs w:val="20"/>
              </w:rPr>
            </w:pPr>
            <w:r>
              <w:rPr>
                <w:sz w:val="20"/>
                <w:szCs w:val="20"/>
              </w:rPr>
              <w:t>2010-2011 </w:t>
            </w:r>
            <w:proofErr w:type="gramStart"/>
            <w:r>
              <w:rPr>
                <w:sz w:val="20"/>
                <w:szCs w:val="20"/>
              </w:rPr>
              <w:t>:  un</w:t>
            </w:r>
            <w:proofErr w:type="gramEnd"/>
            <w:r>
              <w:rPr>
                <w:sz w:val="20"/>
                <w:szCs w:val="20"/>
              </w:rPr>
              <w:t xml:space="preserve"> modèle d’entente de services a t mis sur pied et sera transmis à tous les fournisseurs de services.  Ces ententes de services formaliseront des arrangements souvent informels.  De ce fait, grâce à l’officialisation de ces ententes, les parties saisiront clairement leurs rôles et responsabilités.</w:t>
            </w:r>
          </w:p>
          <w:p w:rsidR="0039725E" w:rsidRDefault="0039725E" w:rsidP="0039725E">
            <w:pPr>
              <w:pStyle w:val="NoSpacing"/>
              <w:rPr>
                <w:sz w:val="20"/>
                <w:szCs w:val="20"/>
              </w:rPr>
            </w:pPr>
          </w:p>
          <w:p w:rsidR="0039725E" w:rsidRPr="0039725E" w:rsidRDefault="0039725E" w:rsidP="0039725E">
            <w:pPr>
              <w:pStyle w:val="NoSpacing"/>
              <w:rPr>
                <w:sz w:val="20"/>
                <w:szCs w:val="20"/>
              </w:rPr>
            </w:pPr>
            <w:r>
              <w:rPr>
                <w:sz w:val="20"/>
                <w:szCs w:val="20"/>
              </w:rPr>
              <w:t>Création du tribunal de la santé mentale en 2009 (NS08)</w:t>
            </w:r>
          </w:p>
        </w:tc>
      </w:tr>
    </w:tbl>
    <w:p w:rsidR="0039725E" w:rsidRPr="001A05CA" w:rsidRDefault="0039725E" w:rsidP="0039725E">
      <w:pPr>
        <w:pStyle w:val="NoSpacing"/>
      </w:pPr>
      <w:r w:rsidRPr="0039725E">
        <w:rPr>
          <w:b/>
        </w:rPr>
        <w:t>Tableau 4, Annexe 2 </w:t>
      </w:r>
      <w:proofErr w:type="gramStart"/>
      <w:r w:rsidRPr="0039725E">
        <w:rPr>
          <w:b/>
        </w:rPr>
        <w:t xml:space="preserve">:  </w:t>
      </w:r>
      <w:r w:rsidR="006857C3">
        <w:rPr>
          <w:b/>
        </w:rPr>
        <w:t>Activités</w:t>
      </w:r>
      <w:proofErr w:type="gramEnd"/>
      <w:r w:rsidR="006857C3">
        <w:rPr>
          <w:b/>
        </w:rPr>
        <w:t xml:space="preserve"> et initiatives sélectionnées des </w:t>
      </w:r>
      <w:r w:rsidR="006857C3" w:rsidRPr="00EA4F8D">
        <w:rPr>
          <w:b/>
        </w:rPr>
        <w:t>SRP</w:t>
      </w:r>
    </w:p>
    <w:p w:rsidR="009D07DF" w:rsidRPr="0039725E" w:rsidRDefault="009D07DF" w:rsidP="009D07DF"/>
    <w:p w:rsidR="009D07DF" w:rsidRPr="0039725E" w:rsidRDefault="009D07DF" w:rsidP="009D07DF">
      <w:pPr>
        <w:pStyle w:val="NoSpacing"/>
        <w:rPr>
          <w:b/>
        </w:rPr>
      </w:pPr>
    </w:p>
    <w:p w:rsidR="009D07DF" w:rsidRPr="0039725E" w:rsidRDefault="009D07DF" w:rsidP="009D07DF">
      <w:pPr>
        <w:pStyle w:val="NoSpacing"/>
        <w:rPr>
          <w:b/>
        </w:rPr>
      </w:pPr>
    </w:p>
    <w:p w:rsidR="00137DE6" w:rsidRPr="0039725E" w:rsidRDefault="00137DE6" w:rsidP="00137DE6">
      <w:pPr>
        <w:pStyle w:val="NoSpacing"/>
        <w:rPr>
          <w:b/>
        </w:rPr>
      </w:pPr>
    </w:p>
    <w:p w:rsidR="00137DE6" w:rsidRPr="0039725E" w:rsidRDefault="00137DE6" w:rsidP="00137DE6">
      <w:pPr>
        <w:pStyle w:val="NoSpacing"/>
        <w:rPr>
          <w:b/>
        </w:rPr>
      </w:pPr>
    </w:p>
    <w:p w:rsidR="001A05CA" w:rsidRPr="0039725E" w:rsidRDefault="001A05CA" w:rsidP="001A05CA">
      <w:pPr>
        <w:rPr>
          <w:b/>
        </w:rPr>
      </w:pPr>
    </w:p>
    <w:p w:rsidR="0039725E" w:rsidRDefault="0039725E" w:rsidP="0039725E">
      <w:pPr>
        <w:pStyle w:val="NoSpacing"/>
        <w:rPr>
          <w:b/>
        </w:rPr>
      </w:pPr>
      <w:r w:rsidRPr="00EA4F8D">
        <w:rPr>
          <w:b/>
        </w:rPr>
        <w:t>Annexe 2 –</w:t>
      </w:r>
      <w:r w:rsidR="006857C3" w:rsidRPr="006857C3">
        <w:rPr>
          <w:b/>
        </w:rPr>
        <w:t xml:space="preserve"> </w:t>
      </w:r>
      <w:r w:rsidR="006857C3">
        <w:rPr>
          <w:b/>
        </w:rPr>
        <w:t xml:space="preserve">Activités et initiatives sélectionnées des </w:t>
      </w:r>
      <w:r w:rsidR="006857C3" w:rsidRPr="00EA4F8D">
        <w:rPr>
          <w:b/>
        </w:rPr>
        <w:t>SRP</w:t>
      </w:r>
    </w:p>
    <w:p w:rsidR="006857C3" w:rsidRPr="001A05CA" w:rsidRDefault="006857C3" w:rsidP="0039725E">
      <w:pPr>
        <w:pStyle w:val="NoSpacing"/>
      </w:pPr>
    </w:p>
    <w:tbl>
      <w:tblPr>
        <w:tblStyle w:val="TableGrid"/>
        <w:tblW w:w="0" w:type="auto"/>
        <w:tblLook w:val="04A0" w:firstRow="1" w:lastRow="0" w:firstColumn="1" w:lastColumn="0" w:noHBand="0" w:noVBand="1"/>
      </w:tblPr>
      <w:tblGrid>
        <w:gridCol w:w="1668"/>
        <w:gridCol w:w="2976"/>
        <w:gridCol w:w="2835"/>
        <w:gridCol w:w="3001"/>
        <w:gridCol w:w="2620"/>
      </w:tblGrid>
      <w:tr w:rsidR="0039725E" w:rsidTr="00F661BD">
        <w:tc>
          <w:tcPr>
            <w:tcW w:w="1668" w:type="dxa"/>
          </w:tcPr>
          <w:p w:rsidR="0039725E" w:rsidRDefault="0039725E" w:rsidP="00F661BD"/>
        </w:tc>
        <w:tc>
          <w:tcPr>
            <w:tcW w:w="2976" w:type="dxa"/>
          </w:tcPr>
          <w:p w:rsidR="0039725E" w:rsidRPr="00AF1D29" w:rsidRDefault="0039725E" w:rsidP="00F661BD">
            <w:pPr>
              <w:rPr>
                <w:b/>
              </w:rPr>
            </w:pPr>
            <w:r w:rsidRPr="00AF1D29">
              <w:rPr>
                <w:b/>
              </w:rPr>
              <w:t>Manitoba</w:t>
            </w:r>
          </w:p>
        </w:tc>
        <w:tc>
          <w:tcPr>
            <w:tcW w:w="2835" w:type="dxa"/>
          </w:tcPr>
          <w:p w:rsidR="0039725E" w:rsidRPr="00AF1D29" w:rsidRDefault="0039725E" w:rsidP="00F661BD">
            <w:pPr>
              <w:rPr>
                <w:b/>
              </w:rPr>
            </w:pPr>
            <w:r w:rsidRPr="00AF1D29">
              <w:rPr>
                <w:b/>
              </w:rPr>
              <w:t>Nouveau Brunswick</w:t>
            </w:r>
          </w:p>
        </w:tc>
        <w:tc>
          <w:tcPr>
            <w:tcW w:w="3001" w:type="dxa"/>
          </w:tcPr>
          <w:p w:rsidR="0039725E" w:rsidRPr="00AF1D29" w:rsidRDefault="0039725E" w:rsidP="00F661BD">
            <w:pPr>
              <w:rPr>
                <w:b/>
              </w:rPr>
            </w:pPr>
            <w:r w:rsidRPr="00AF1D29">
              <w:rPr>
                <w:b/>
              </w:rPr>
              <w:t>Terre-Neuve et Labrador</w:t>
            </w:r>
          </w:p>
        </w:tc>
        <w:tc>
          <w:tcPr>
            <w:tcW w:w="2620" w:type="dxa"/>
          </w:tcPr>
          <w:p w:rsidR="0039725E" w:rsidRPr="00AF1D29" w:rsidRDefault="0039725E" w:rsidP="00F661BD">
            <w:pPr>
              <w:rPr>
                <w:b/>
              </w:rPr>
            </w:pPr>
            <w:r w:rsidRPr="00AF1D29">
              <w:rPr>
                <w:b/>
              </w:rPr>
              <w:t>Nouvelle-Écosse</w:t>
            </w:r>
          </w:p>
        </w:tc>
      </w:tr>
      <w:tr w:rsidR="0039725E" w:rsidRPr="0039725E" w:rsidTr="00F661BD">
        <w:tc>
          <w:tcPr>
            <w:tcW w:w="1668" w:type="dxa"/>
          </w:tcPr>
          <w:p w:rsidR="0039725E" w:rsidRDefault="0039725E" w:rsidP="00F661BD">
            <w:pPr>
              <w:rPr>
                <w:b/>
              </w:rPr>
            </w:pPr>
            <w:r>
              <w:rPr>
                <w:b/>
              </w:rPr>
              <w:t>Initiatives en formation et/ou emploi</w:t>
            </w:r>
          </w:p>
          <w:p w:rsidR="0039725E" w:rsidRDefault="0039725E" w:rsidP="00F661BD">
            <w:pPr>
              <w:rPr>
                <w:b/>
              </w:rPr>
            </w:pPr>
          </w:p>
          <w:p w:rsidR="0039725E" w:rsidRDefault="0039725E" w:rsidP="00F661BD">
            <w:pPr>
              <w:rPr>
                <w:b/>
              </w:rPr>
            </w:pPr>
          </w:p>
          <w:p w:rsidR="0039725E" w:rsidRDefault="0039725E" w:rsidP="00F661BD">
            <w:pPr>
              <w:rPr>
                <w:b/>
              </w:rPr>
            </w:pPr>
          </w:p>
          <w:p w:rsidR="0039725E" w:rsidRDefault="0039725E" w:rsidP="00F661BD">
            <w:pPr>
              <w:rPr>
                <w:b/>
              </w:rPr>
            </w:pPr>
          </w:p>
          <w:p w:rsidR="0039725E" w:rsidRDefault="0039725E" w:rsidP="00F661BD">
            <w:pPr>
              <w:rPr>
                <w:b/>
              </w:rPr>
            </w:pPr>
          </w:p>
          <w:p w:rsidR="0039725E" w:rsidRPr="0053315B" w:rsidRDefault="0039725E" w:rsidP="00F661BD">
            <w:pPr>
              <w:rPr>
                <w:b/>
              </w:rPr>
            </w:pPr>
          </w:p>
        </w:tc>
        <w:tc>
          <w:tcPr>
            <w:tcW w:w="2976" w:type="dxa"/>
          </w:tcPr>
          <w:p w:rsidR="0039725E" w:rsidRPr="00EA4F8D" w:rsidRDefault="0039725E" w:rsidP="00F661BD">
            <w:pPr>
              <w:rPr>
                <w:sz w:val="20"/>
                <w:szCs w:val="20"/>
              </w:rPr>
            </w:pPr>
            <w:r>
              <w:rPr>
                <w:sz w:val="20"/>
                <w:szCs w:val="20"/>
              </w:rPr>
              <w:t xml:space="preserve">Histoire du </w:t>
            </w:r>
            <w:proofErr w:type="spellStart"/>
            <w:r>
              <w:rPr>
                <w:sz w:val="20"/>
                <w:szCs w:val="20"/>
              </w:rPr>
              <w:t>Westbran</w:t>
            </w:r>
            <w:proofErr w:type="spellEnd"/>
            <w:r>
              <w:rPr>
                <w:sz w:val="20"/>
                <w:szCs w:val="20"/>
              </w:rPr>
              <w:t xml:space="preserve"> Centre Job Club </w:t>
            </w:r>
            <w:proofErr w:type="gramStart"/>
            <w:r>
              <w:rPr>
                <w:sz w:val="20"/>
                <w:szCs w:val="20"/>
              </w:rPr>
              <w:t>:  Un</w:t>
            </w:r>
            <w:proofErr w:type="gramEnd"/>
            <w:r>
              <w:rPr>
                <w:sz w:val="20"/>
                <w:szCs w:val="20"/>
              </w:rPr>
              <w:t xml:space="preserve"> prestataire de l’aide au revenu et à l’emploi avait besoin d’un petit soutien pour faire des choix qui allaient changer sa vie.  Licencié de ses deux derniers emplois, il était déprimé et avait peu d’estime personnelle.  Sans emploi depuis un an, il ne n’arrivait pas à bien « se vendre » auprès d’employeurs et faiblissait lors des entrevues.  Grâce à des ressources de ce centre d’emploi, (créé en 2010), il a obtenu un emploi à temps plein dans un foyer de soins personnels;  il attribue sa réussite à l’aide accordée par le job club (centre d’emploi).  MA02/2, p.2</w:t>
            </w:r>
          </w:p>
        </w:tc>
        <w:tc>
          <w:tcPr>
            <w:tcW w:w="2835" w:type="dxa"/>
          </w:tcPr>
          <w:p w:rsidR="0039725E" w:rsidRPr="00F641E7" w:rsidRDefault="0039725E" w:rsidP="00F661BD">
            <w:pPr>
              <w:autoSpaceDE w:val="0"/>
              <w:autoSpaceDN w:val="0"/>
              <w:adjustRightInd w:val="0"/>
              <w:rPr>
                <w:sz w:val="20"/>
                <w:szCs w:val="20"/>
              </w:rPr>
            </w:pPr>
            <w:r>
              <w:rPr>
                <w:sz w:val="20"/>
                <w:szCs w:val="20"/>
              </w:rPr>
              <w:t>1</w:t>
            </w:r>
            <w:r w:rsidRPr="0039725E">
              <w:rPr>
                <w:sz w:val="20"/>
                <w:szCs w:val="20"/>
                <w:vertAlign w:val="superscript"/>
              </w:rPr>
              <w:t>er</w:t>
            </w:r>
            <w:r>
              <w:rPr>
                <w:sz w:val="20"/>
                <w:szCs w:val="20"/>
              </w:rPr>
              <w:t xml:space="preserve"> avril 2011 </w:t>
            </w:r>
            <w:proofErr w:type="gramStart"/>
            <w:r>
              <w:rPr>
                <w:sz w:val="20"/>
                <w:szCs w:val="20"/>
              </w:rPr>
              <w:t>:  Le</w:t>
            </w:r>
            <w:proofErr w:type="gramEnd"/>
            <w:r>
              <w:rPr>
                <w:sz w:val="20"/>
                <w:szCs w:val="20"/>
              </w:rPr>
              <w:t xml:space="preserve"> salaire minimum a augmenté pour atteindre 9,50 $ de l’heure (NB03, p.5)</w:t>
            </w:r>
          </w:p>
        </w:tc>
        <w:tc>
          <w:tcPr>
            <w:tcW w:w="3001" w:type="dxa"/>
          </w:tcPr>
          <w:p w:rsidR="0039725E" w:rsidRPr="0039725E" w:rsidRDefault="0039725E" w:rsidP="00F661BD">
            <w:pPr>
              <w:rPr>
                <w:sz w:val="18"/>
                <w:szCs w:val="18"/>
              </w:rPr>
            </w:pPr>
            <w:r w:rsidRPr="0039725E">
              <w:rPr>
                <w:sz w:val="18"/>
                <w:szCs w:val="18"/>
              </w:rPr>
              <w:t xml:space="preserve">Le programme </w:t>
            </w:r>
            <w:proofErr w:type="spellStart"/>
            <w:r w:rsidRPr="0039725E">
              <w:rPr>
                <w:sz w:val="18"/>
                <w:szCs w:val="18"/>
              </w:rPr>
              <w:t>Bridging</w:t>
            </w:r>
            <w:proofErr w:type="spellEnd"/>
            <w:r w:rsidRPr="0039725E">
              <w:rPr>
                <w:sz w:val="18"/>
                <w:szCs w:val="18"/>
              </w:rPr>
              <w:t xml:space="preserve"> the Gap </w:t>
            </w:r>
            <w:proofErr w:type="gramStart"/>
            <w:r w:rsidRPr="0039725E">
              <w:rPr>
                <w:sz w:val="18"/>
                <w:szCs w:val="18"/>
              </w:rPr>
              <w:t xml:space="preserve">:  </w:t>
            </w:r>
            <w:proofErr w:type="spellStart"/>
            <w:r w:rsidRPr="0039725E">
              <w:rPr>
                <w:sz w:val="18"/>
                <w:szCs w:val="18"/>
              </w:rPr>
              <w:t>From</w:t>
            </w:r>
            <w:proofErr w:type="spellEnd"/>
            <w:proofErr w:type="gramEnd"/>
            <w:r w:rsidRPr="0039725E">
              <w:rPr>
                <w:sz w:val="18"/>
                <w:szCs w:val="18"/>
              </w:rPr>
              <w:t xml:space="preserve"> </w:t>
            </w:r>
            <w:proofErr w:type="spellStart"/>
            <w:r w:rsidRPr="0039725E">
              <w:rPr>
                <w:sz w:val="18"/>
                <w:szCs w:val="18"/>
              </w:rPr>
              <w:t>Education</w:t>
            </w:r>
            <w:proofErr w:type="spellEnd"/>
            <w:r w:rsidRPr="0039725E">
              <w:rPr>
                <w:sz w:val="18"/>
                <w:szCs w:val="18"/>
              </w:rPr>
              <w:t xml:space="preserve"> to </w:t>
            </w:r>
            <w:proofErr w:type="spellStart"/>
            <w:r w:rsidRPr="0039725E">
              <w:rPr>
                <w:sz w:val="18"/>
                <w:szCs w:val="18"/>
              </w:rPr>
              <w:t>Employment</w:t>
            </w:r>
            <w:proofErr w:type="spellEnd"/>
            <w:r w:rsidRPr="0039725E">
              <w:rPr>
                <w:sz w:val="18"/>
                <w:szCs w:val="18"/>
              </w:rPr>
              <w:t xml:space="preserve">, dirigé par la </w:t>
            </w:r>
            <w:proofErr w:type="spellStart"/>
            <w:r w:rsidRPr="0039725E">
              <w:rPr>
                <w:sz w:val="18"/>
                <w:szCs w:val="18"/>
              </w:rPr>
              <w:t>Random</w:t>
            </w:r>
            <w:proofErr w:type="spellEnd"/>
            <w:r w:rsidRPr="0039725E">
              <w:rPr>
                <w:sz w:val="18"/>
                <w:szCs w:val="18"/>
              </w:rPr>
              <w:t xml:space="preserve"> </w:t>
            </w:r>
            <w:proofErr w:type="spellStart"/>
            <w:r w:rsidRPr="0039725E">
              <w:rPr>
                <w:sz w:val="18"/>
                <w:szCs w:val="18"/>
              </w:rPr>
              <w:t>North</w:t>
            </w:r>
            <w:proofErr w:type="spellEnd"/>
            <w:r w:rsidRPr="0039725E">
              <w:rPr>
                <w:sz w:val="18"/>
                <w:szCs w:val="18"/>
              </w:rPr>
              <w:t xml:space="preserve"> </w:t>
            </w:r>
            <w:proofErr w:type="spellStart"/>
            <w:r w:rsidRPr="0039725E">
              <w:rPr>
                <w:sz w:val="18"/>
                <w:szCs w:val="18"/>
              </w:rPr>
              <w:t>Development</w:t>
            </w:r>
            <w:proofErr w:type="spellEnd"/>
            <w:r w:rsidRPr="0039725E">
              <w:rPr>
                <w:sz w:val="18"/>
                <w:szCs w:val="18"/>
              </w:rPr>
              <w:t xml:space="preserve"> Association, a été </w:t>
            </w:r>
            <w:r>
              <w:rPr>
                <w:sz w:val="18"/>
                <w:szCs w:val="18"/>
              </w:rPr>
              <w:t xml:space="preserve">prolongé </w:t>
            </w:r>
            <w:r w:rsidRPr="0039725E">
              <w:rPr>
                <w:sz w:val="18"/>
                <w:szCs w:val="18"/>
              </w:rPr>
              <w:t xml:space="preserve"> gr</w:t>
            </w:r>
            <w:r>
              <w:rPr>
                <w:sz w:val="18"/>
                <w:szCs w:val="18"/>
              </w:rPr>
              <w:t xml:space="preserve">âce au financement de la SRP.  Ce programme offre des services de  formation personnalisée, de  préparation à l’emploi, de perfectionnement des compétences et la possibilité de </w:t>
            </w:r>
            <w:proofErr w:type="spellStart"/>
            <w:r>
              <w:rPr>
                <w:sz w:val="18"/>
                <w:szCs w:val="18"/>
              </w:rPr>
              <w:t>permanentiser</w:t>
            </w:r>
            <w:proofErr w:type="spellEnd"/>
            <w:r>
              <w:rPr>
                <w:sz w:val="18"/>
                <w:szCs w:val="18"/>
              </w:rPr>
              <w:t xml:space="preserve">  l’emploi.  Ce programme aide les participants à acquérir des compétences en les réunissant avec des employeurs dans un cadre axé sur l’apprentissage.  Plusieurs entreprises ont été sélectionnées pour assurer la formation et employer jusqu’à 40 participants locaux par an.  (NL01, p.18)</w:t>
            </w:r>
          </w:p>
        </w:tc>
        <w:tc>
          <w:tcPr>
            <w:tcW w:w="2620" w:type="dxa"/>
          </w:tcPr>
          <w:p w:rsidR="0039725E" w:rsidRPr="0039725E" w:rsidRDefault="0039725E" w:rsidP="00F661BD">
            <w:pPr>
              <w:pStyle w:val="NoSpacing"/>
              <w:rPr>
                <w:sz w:val="20"/>
                <w:szCs w:val="20"/>
              </w:rPr>
            </w:pPr>
            <w:r>
              <w:rPr>
                <w:sz w:val="20"/>
                <w:szCs w:val="20"/>
              </w:rPr>
              <w:t>Le salaire minimum augmentera  pour atteindre 10 $ de l’heure en 2011-2012  (NS08)</w:t>
            </w:r>
          </w:p>
        </w:tc>
      </w:tr>
    </w:tbl>
    <w:p w:rsidR="0039725E" w:rsidRPr="0039725E" w:rsidRDefault="0039725E" w:rsidP="0039725E"/>
    <w:p w:rsidR="00C70CC9" w:rsidRDefault="00C70CC9" w:rsidP="00374D4D"/>
    <w:p w:rsidR="0039725E" w:rsidRDefault="0039725E" w:rsidP="00374D4D"/>
    <w:p w:rsidR="0039725E" w:rsidRDefault="0039725E" w:rsidP="00374D4D"/>
    <w:p w:rsidR="0039725E" w:rsidRDefault="0039725E" w:rsidP="00374D4D"/>
    <w:p w:rsidR="0039725E" w:rsidRPr="0039725E" w:rsidRDefault="0039725E" w:rsidP="00374D4D"/>
    <w:p w:rsidR="005B05EF" w:rsidRDefault="005B05EF" w:rsidP="0039725E">
      <w:pPr>
        <w:tabs>
          <w:tab w:val="left" w:pos="1920"/>
        </w:tabs>
        <w:rPr>
          <w:b/>
        </w:rPr>
      </w:pPr>
    </w:p>
    <w:p w:rsidR="006857C3" w:rsidRDefault="006857C3" w:rsidP="0039725E">
      <w:pPr>
        <w:tabs>
          <w:tab w:val="left" w:pos="1920"/>
        </w:tabs>
        <w:rPr>
          <w:b/>
        </w:rPr>
      </w:pPr>
    </w:p>
    <w:p w:rsidR="0039725E" w:rsidRDefault="0080289E" w:rsidP="0039725E">
      <w:pPr>
        <w:tabs>
          <w:tab w:val="left" w:pos="1920"/>
        </w:tabs>
        <w:rPr>
          <w:b/>
        </w:rPr>
      </w:pPr>
      <w:r>
        <w:rPr>
          <w:b/>
        </w:rPr>
        <w:tab/>
      </w:r>
      <w:r w:rsidR="0039725E" w:rsidRPr="0080289E">
        <w:rPr>
          <w:b/>
          <w:sz w:val="28"/>
          <w:szCs w:val="28"/>
        </w:rPr>
        <w:t>BIBLIOGRAPHIE</w:t>
      </w:r>
      <w:r w:rsidR="0039725E" w:rsidRPr="0080289E">
        <w:rPr>
          <w:b/>
          <w:sz w:val="28"/>
          <w:szCs w:val="28"/>
        </w:rPr>
        <w:tab/>
      </w:r>
    </w:p>
    <w:p w:rsidR="0039725E" w:rsidRDefault="0039725E" w:rsidP="00C15DE7">
      <w:pPr>
        <w:pStyle w:val="Default"/>
        <w:ind w:left="1416" w:firstLine="708"/>
        <w:rPr>
          <w:b/>
          <w:bCs/>
          <w:sz w:val="28"/>
          <w:szCs w:val="28"/>
          <w:lang w:val="en-CA"/>
        </w:rPr>
      </w:pPr>
      <w:r w:rsidRPr="00C15DE7">
        <w:rPr>
          <w:b/>
          <w:bCs/>
          <w:sz w:val="28"/>
          <w:szCs w:val="28"/>
          <w:lang w:val="en-CA"/>
        </w:rPr>
        <w:t xml:space="preserve">Manitoba </w:t>
      </w:r>
      <w:r w:rsidR="005B05EF" w:rsidRPr="00C15DE7">
        <w:rPr>
          <w:b/>
          <w:bCs/>
          <w:sz w:val="28"/>
          <w:szCs w:val="28"/>
          <w:lang w:val="en-CA"/>
        </w:rPr>
        <w:t xml:space="preserve"> </w:t>
      </w:r>
    </w:p>
    <w:p w:rsidR="00C15DE7" w:rsidRPr="00C15DE7" w:rsidRDefault="00C15DE7" w:rsidP="00C15DE7">
      <w:pPr>
        <w:pStyle w:val="Default"/>
        <w:ind w:left="1416" w:firstLine="708"/>
        <w:rPr>
          <w:sz w:val="28"/>
          <w:szCs w:val="28"/>
          <w:lang w:val="en-CA"/>
        </w:rPr>
      </w:pPr>
    </w:p>
    <w:p w:rsidR="0039725E" w:rsidRPr="0039725E" w:rsidRDefault="0039725E" w:rsidP="0039725E">
      <w:pPr>
        <w:pStyle w:val="Default"/>
        <w:ind w:left="2124"/>
        <w:rPr>
          <w:sz w:val="23"/>
          <w:szCs w:val="23"/>
        </w:rPr>
      </w:pPr>
      <w:r w:rsidRPr="0039725E">
        <w:rPr>
          <w:sz w:val="23"/>
          <w:szCs w:val="23"/>
        </w:rPr>
        <w:t xml:space="preserve">MA01 – Province du Manitoba: (2009). </w:t>
      </w:r>
      <w:r w:rsidRPr="0039725E">
        <w:rPr>
          <w:i/>
          <w:sz w:val="23"/>
          <w:szCs w:val="23"/>
        </w:rPr>
        <w:t>Tout le monde à bord</w:t>
      </w:r>
      <w:proofErr w:type="gramStart"/>
      <w:r w:rsidRPr="0039725E">
        <w:rPr>
          <w:i/>
          <w:sz w:val="23"/>
          <w:szCs w:val="23"/>
        </w:rPr>
        <w:t>:  Stratégie</w:t>
      </w:r>
      <w:proofErr w:type="gramEnd"/>
      <w:r w:rsidRPr="0039725E">
        <w:rPr>
          <w:i/>
          <w:sz w:val="23"/>
          <w:szCs w:val="23"/>
        </w:rPr>
        <w:t xml:space="preserve"> manitobaine de r</w:t>
      </w:r>
      <w:r>
        <w:rPr>
          <w:i/>
          <w:sz w:val="23"/>
          <w:szCs w:val="23"/>
        </w:rPr>
        <w:t>é</w:t>
      </w:r>
      <w:r w:rsidRPr="0039725E">
        <w:rPr>
          <w:i/>
          <w:sz w:val="23"/>
          <w:szCs w:val="23"/>
        </w:rPr>
        <w:t>duction de la pauvreté</w:t>
      </w:r>
      <w:r w:rsidRPr="0039725E">
        <w:rPr>
          <w:sz w:val="23"/>
          <w:szCs w:val="23"/>
        </w:rPr>
        <w:t xml:space="preserve"> </w:t>
      </w:r>
      <w:r w:rsidRPr="0039725E">
        <w:rPr>
          <w:i/>
          <w:iCs/>
          <w:sz w:val="23"/>
          <w:szCs w:val="23"/>
        </w:rPr>
        <w:t xml:space="preserve">All </w:t>
      </w:r>
      <w:hyperlink r:id="rId6" w:history="1">
        <w:r w:rsidR="005B05EF" w:rsidRPr="000B572A">
          <w:rPr>
            <w:rStyle w:val="Hyperlink"/>
            <w:i/>
            <w:iCs/>
            <w:sz w:val="23"/>
            <w:szCs w:val="23"/>
          </w:rPr>
          <w:t>http://www.gov.mb.ca/allaboard/pubs/strategy_paper.fr.pdf</w:t>
        </w:r>
      </w:hyperlink>
      <w:r w:rsidR="005B05EF">
        <w:rPr>
          <w:i/>
          <w:iCs/>
          <w:sz w:val="23"/>
          <w:szCs w:val="23"/>
        </w:rPr>
        <w:t xml:space="preserve"> </w:t>
      </w:r>
    </w:p>
    <w:p w:rsidR="0039725E" w:rsidRDefault="0039725E" w:rsidP="0039725E">
      <w:pPr>
        <w:pStyle w:val="Default"/>
        <w:rPr>
          <w:sz w:val="23"/>
          <w:szCs w:val="23"/>
        </w:rPr>
      </w:pPr>
    </w:p>
    <w:p w:rsidR="0039725E" w:rsidRDefault="0039725E" w:rsidP="0039725E">
      <w:pPr>
        <w:pStyle w:val="Default"/>
        <w:ind w:left="2124"/>
        <w:rPr>
          <w:sz w:val="23"/>
          <w:szCs w:val="23"/>
        </w:rPr>
      </w:pPr>
      <w:r w:rsidRPr="0039725E">
        <w:rPr>
          <w:sz w:val="23"/>
          <w:szCs w:val="23"/>
        </w:rPr>
        <w:t>MA02/1 – Province</w:t>
      </w:r>
      <w:r>
        <w:rPr>
          <w:sz w:val="23"/>
          <w:szCs w:val="23"/>
        </w:rPr>
        <w:t xml:space="preserve"> du</w:t>
      </w:r>
      <w:r w:rsidRPr="0039725E">
        <w:rPr>
          <w:sz w:val="23"/>
          <w:szCs w:val="23"/>
        </w:rPr>
        <w:t xml:space="preserve"> Manitoba (2011). </w:t>
      </w:r>
      <w:r w:rsidRPr="0039725E">
        <w:rPr>
          <w:i/>
          <w:sz w:val="23"/>
          <w:szCs w:val="23"/>
        </w:rPr>
        <w:t>Tout le monde à bord</w:t>
      </w:r>
      <w:proofErr w:type="gramStart"/>
      <w:r w:rsidRPr="0039725E">
        <w:rPr>
          <w:i/>
          <w:sz w:val="23"/>
          <w:szCs w:val="23"/>
        </w:rPr>
        <w:t>:  Stratégie</w:t>
      </w:r>
      <w:proofErr w:type="gramEnd"/>
      <w:r w:rsidRPr="0039725E">
        <w:rPr>
          <w:i/>
          <w:sz w:val="23"/>
          <w:szCs w:val="23"/>
        </w:rPr>
        <w:t xml:space="preserve"> manitobaine de r</w:t>
      </w:r>
      <w:r>
        <w:rPr>
          <w:i/>
          <w:sz w:val="23"/>
          <w:szCs w:val="23"/>
        </w:rPr>
        <w:t>é</w:t>
      </w:r>
      <w:r w:rsidRPr="0039725E">
        <w:rPr>
          <w:i/>
          <w:sz w:val="23"/>
          <w:szCs w:val="23"/>
        </w:rPr>
        <w:t>duction de la pauvreté</w:t>
      </w:r>
      <w:r w:rsidRPr="0039725E">
        <w:rPr>
          <w:i/>
          <w:iCs/>
          <w:sz w:val="23"/>
          <w:szCs w:val="23"/>
        </w:rPr>
        <w:t xml:space="preserve"> </w:t>
      </w:r>
      <w:r>
        <w:rPr>
          <w:i/>
          <w:iCs/>
          <w:sz w:val="23"/>
          <w:szCs w:val="23"/>
        </w:rPr>
        <w:t>et de l’inclusion sociale</w:t>
      </w:r>
      <w:r w:rsidRPr="0039725E">
        <w:rPr>
          <w:sz w:val="23"/>
          <w:szCs w:val="23"/>
        </w:rPr>
        <w:t xml:space="preserve">. </w:t>
      </w:r>
      <w:r>
        <w:rPr>
          <w:sz w:val="23"/>
          <w:szCs w:val="23"/>
        </w:rPr>
        <w:t xml:space="preserve">Numéro </w:t>
      </w:r>
      <w:r w:rsidRPr="0039725E">
        <w:rPr>
          <w:sz w:val="23"/>
          <w:szCs w:val="23"/>
        </w:rPr>
        <w:t xml:space="preserve">1. </w:t>
      </w:r>
      <w:hyperlink r:id="rId7" w:history="1">
        <w:r w:rsidRPr="000B572A">
          <w:rPr>
            <w:rStyle w:val="Hyperlink"/>
            <w:sz w:val="23"/>
            <w:szCs w:val="23"/>
          </w:rPr>
          <w:t>http://www.gov.mb.ca/fs/allaboard/pubs/allaboard_report.pdf</w:t>
        </w:r>
      </w:hyperlink>
      <w:r w:rsidRPr="0039725E">
        <w:rPr>
          <w:sz w:val="23"/>
          <w:szCs w:val="23"/>
        </w:rPr>
        <w:t xml:space="preserve"> </w:t>
      </w:r>
    </w:p>
    <w:p w:rsidR="0039725E" w:rsidRPr="0039725E" w:rsidRDefault="0039725E" w:rsidP="0039725E">
      <w:pPr>
        <w:pStyle w:val="Default"/>
        <w:ind w:left="1416" w:firstLine="708"/>
        <w:rPr>
          <w:sz w:val="23"/>
          <w:szCs w:val="23"/>
        </w:rPr>
      </w:pPr>
    </w:p>
    <w:p w:rsidR="0039725E" w:rsidRPr="0039725E" w:rsidRDefault="0039725E" w:rsidP="0039725E">
      <w:pPr>
        <w:pStyle w:val="Default"/>
        <w:ind w:left="2124"/>
        <w:rPr>
          <w:sz w:val="23"/>
          <w:szCs w:val="23"/>
        </w:rPr>
      </w:pPr>
      <w:r w:rsidRPr="0039725E">
        <w:rPr>
          <w:sz w:val="23"/>
          <w:szCs w:val="23"/>
        </w:rPr>
        <w:t xml:space="preserve">MA02/2 – Province of Manitoba (2011). </w:t>
      </w:r>
      <w:r w:rsidRPr="0039725E">
        <w:rPr>
          <w:i/>
          <w:sz w:val="23"/>
          <w:szCs w:val="23"/>
        </w:rPr>
        <w:t>Tout le monde à bord</w:t>
      </w:r>
      <w:proofErr w:type="gramStart"/>
      <w:r w:rsidRPr="0039725E">
        <w:rPr>
          <w:i/>
          <w:sz w:val="23"/>
          <w:szCs w:val="23"/>
        </w:rPr>
        <w:t>:  Stratégie</w:t>
      </w:r>
      <w:proofErr w:type="gramEnd"/>
      <w:r w:rsidRPr="0039725E">
        <w:rPr>
          <w:i/>
          <w:sz w:val="23"/>
          <w:szCs w:val="23"/>
        </w:rPr>
        <w:t xml:space="preserve"> manitobaine de r</w:t>
      </w:r>
      <w:r>
        <w:rPr>
          <w:i/>
          <w:sz w:val="23"/>
          <w:szCs w:val="23"/>
        </w:rPr>
        <w:t>é</w:t>
      </w:r>
      <w:r w:rsidRPr="0039725E">
        <w:rPr>
          <w:i/>
          <w:sz w:val="23"/>
          <w:szCs w:val="23"/>
        </w:rPr>
        <w:t>duction de la pauvreté</w:t>
      </w:r>
      <w:r w:rsidRPr="0039725E">
        <w:rPr>
          <w:i/>
          <w:iCs/>
          <w:sz w:val="23"/>
          <w:szCs w:val="23"/>
        </w:rPr>
        <w:t xml:space="preserve"> </w:t>
      </w:r>
      <w:r>
        <w:rPr>
          <w:i/>
          <w:iCs/>
          <w:sz w:val="23"/>
          <w:szCs w:val="23"/>
        </w:rPr>
        <w:t>et de l’inclusion sociale</w:t>
      </w:r>
      <w:r w:rsidRPr="0039725E">
        <w:rPr>
          <w:sz w:val="23"/>
          <w:szCs w:val="23"/>
        </w:rPr>
        <w:t xml:space="preserve">. Numéro 2 </w:t>
      </w:r>
    </w:p>
    <w:p w:rsidR="0039725E" w:rsidRPr="0039725E" w:rsidRDefault="0039725E" w:rsidP="0039725E">
      <w:pPr>
        <w:pStyle w:val="Default"/>
        <w:ind w:left="2124"/>
        <w:rPr>
          <w:sz w:val="23"/>
          <w:szCs w:val="23"/>
        </w:rPr>
      </w:pPr>
      <w:r w:rsidRPr="0039725E">
        <w:rPr>
          <w:sz w:val="23"/>
          <w:szCs w:val="23"/>
        </w:rPr>
        <w:t xml:space="preserve"> </w:t>
      </w:r>
      <w:hyperlink r:id="rId8" w:history="1">
        <w:r w:rsidRPr="0039725E">
          <w:rPr>
            <w:rStyle w:val="Hyperlink"/>
            <w:sz w:val="23"/>
            <w:szCs w:val="23"/>
          </w:rPr>
          <w:t>http://www.gov.mb.ca/fs/allaboard/pubs/newsletter_winter_11.pdf</w:t>
        </w:r>
      </w:hyperlink>
      <w:r w:rsidRPr="0039725E">
        <w:rPr>
          <w:sz w:val="23"/>
          <w:szCs w:val="23"/>
        </w:rPr>
        <w:t xml:space="preserve"> </w:t>
      </w:r>
    </w:p>
    <w:p w:rsidR="0039725E" w:rsidRPr="0039725E" w:rsidRDefault="0039725E" w:rsidP="0039725E">
      <w:pPr>
        <w:pStyle w:val="Default"/>
        <w:ind w:left="2124"/>
        <w:rPr>
          <w:sz w:val="23"/>
          <w:szCs w:val="23"/>
        </w:rPr>
      </w:pPr>
    </w:p>
    <w:p w:rsidR="0039725E" w:rsidRPr="0039725E" w:rsidRDefault="0039725E" w:rsidP="0039725E">
      <w:pPr>
        <w:pStyle w:val="Default"/>
        <w:ind w:left="2124"/>
        <w:rPr>
          <w:sz w:val="23"/>
          <w:szCs w:val="23"/>
        </w:rPr>
      </w:pPr>
      <w:r w:rsidRPr="0039725E">
        <w:rPr>
          <w:sz w:val="23"/>
          <w:szCs w:val="23"/>
        </w:rPr>
        <w:t xml:space="preserve">MA02/3 – Province of Manitoba (2011). </w:t>
      </w:r>
      <w:r w:rsidRPr="0039725E">
        <w:rPr>
          <w:i/>
          <w:sz w:val="23"/>
          <w:szCs w:val="23"/>
        </w:rPr>
        <w:t>Tout le monde à bord</w:t>
      </w:r>
      <w:proofErr w:type="gramStart"/>
      <w:r w:rsidRPr="0039725E">
        <w:rPr>
          <w:i/>
          <w:sz w:val="23"/>
          <w:szCs w:val="23"/>
        </w:rPr>
        <w:t>:  Stratégie</w:t>
      </w:r>
      <w:proofErr w:type="gramEnd"/>
      <w:r w:rsidRPr="0039725E">
        <w:rPr>
          <w:i/>
          <w:sz w:val="23"/>
          <w:szCs w:val="23"/>
        </w:rPr>
        <w:t xml:space="preserve"> manitobaine de r</w:t>
      </w:r>
      <w:r>
        <w:rPr>
          <w:i/>
          <w:sz w:val="23"/>
          <w:szCs w:val="23"/>
        </w:rPr>
        <w:t>é</w:t>
      </w:r>
      <w:r w:rsidRPr="0039725E">
        <w:rPr>
          <w:i/>
          <w:sz w:val="23"/>
          <w:szCs w:val="23"/>
        </w:rPr>
        <w:t>duction de la pauvreté</w:t>
      </w:r>
      <w:r w:rsidRPr="0039725E">
        <w:rPr>
          <w:i/>
          <w:iCs/>
          <w:sz w:val="23"/>
          <w:szCs w:val="23"/>
        </w:rPr>
        <w:t xml:space="preserve"> </w:t>
      </w:r>
      <w:r>
        <w:rPr>
          <w:i/>
          <w:iCs/>
          <w:sz w:val="23"/>
          <w:szCs w:val="23"/>
        </w:rPr>
        <w:t>et de l’inclusion sociale</w:t>
      </w:r>
      <w:r w:rsidRPr="0039725E">
        <w:rPr>
          <w:sz w:val="23"/>
          <w:szCs w:val="23"/>
        </w:rPr>
        <w:t xml:space="preserve">. Numéro 3 </w:t>
      </w:r>
    </w:p>
    <w:p w:rsidR="0039725E" w:rsidRPr="0039725E" w:rsidRDefault="0039725E" w:rsidP="0039725E">
      <w:pPr>
        <w:pStyle w:val="Default"/>
        <w:ind w:left="2124"/>
        <w:rPr>
          <w:sz w:val="23"/>
          <w:szCs w:val="23"/>
        </w:rPr>
      </w:pPr>
      <w:r w:rsidRPr="0039725E">
        <w:rPr>
          <w:sz w:val="23"/>
          <w:szCs w:val="23"/>
        </w:rPr>
        <w:t xml:space="preserve"> </w:t>
      </w:r>
      <w:hyperlink r:id="rId9" w:history="1">
        <w:r w:rsidRPr="0039725E">
          <w:rPr>
            <w:rStyle w:val="Hyperlink"/>
            <w:sz w:val="23"/>
            <w:szCs w:val="23"/>
          </w:rPr>
          <w:t>http://www.gov.mb.ca/fs/allaboard/pubs/newsletter_summer_11.pdf</w:t>
        </w:r>
      </w:hyperlink>
    </w:p>
    <w:p w:rsidR="0039725E" w:rsidRPr="0039725E" w:rsidRDefault="0039725E" w:rsidP="0039725E">
      <w:pPr>
        <w:pStyle w:val="Default"/>
        <w:ind w:left="2124"/>
        <w:rPr>
          <w:sz w:val="23"/>
          <w:szCs w:val="23"/>
        </w:rPr>
      </w:pPr>
      <w:r w:rsidRPr="0039725E">
        <w:rPr>
          <w:sz w:val="23"/>
          <w:szCs w:val="23"/>
        </w:rPr>
        <w:t xml:space="preserve"> </w:t>
      </w:r>
    </w:p>
    <w:p w:rsidR="0039725E" w:rsidRDefault="0039725E" w:rsidP="0039725E">
      <w:pPr>
        <w:pStyle w:val="Default"/>
        <w:ind w:left="2124"/>
        <w:rPr>
          <w:sz w:val="23"/>
          <w:szCs w:val="23"/>
        </w:rPr>
      </w:pPr>
      <w:r w:rsidRPr="0039725E">
        <w:rPr>
          <w:sz w:val="23"/>
          <w:szCs w:val="23"/>
        </w:rPr>
        <w:t xml:space="preserve">MA03 – Province du  Manitoba (2011). </w:t>
      </w:r>
      <w:r w:rsidRPr="0039725E">
        <w:rPr>
          <w:i/>
          <w:iCs/>
          <w:sz w:val="23"/>
          <w:szCs w:val="23"/>
        </w:rPr>
        <w:t xml:space="preserve">The 2011 Discours de </w:t>
      </w:r>
      <w:r>
        <w:rPr>
          <w:i/>
          <w:iCs/>
          <w:sz w:val="23"/>
          <w:szCs w:val="23"/>
        </w:rPr>
        <w:t>pré</w:t>
      </w:r>
      <w:r w:rsidRPr="0039725E">
        <w:rPr>
          <w:i/>
          <w:iCs/>
          <w:sz w:val="23"/>
          <w:szCs w:val="23"/>
        </w:rPr>
        <w:t>sentation du budget 2011</w:t>
      </w:r>
      <w:r>
        <w:rPr>
          <w:i/>
          <w:iCs/>
          <w:sz w:val="23"/>
          <w:szCs w:val="23"/>
        </w:rPr>
        <w:t xml:space="preserve"> </w:t>
      </w:r>
      <w:r w:rsidRPr="0039725E">
        <w:rPr>
          <w:sz w:val="23"/>
          <w:szCs w:val="23"/>
        </w:rPr>
        <w:t xml:space="preserve"> </w:t>
      </w:r>
      <w:hyperlink r:id="rId10" w:history="1">
        <w:r w:rsidRPr="000B572A">
          <w:rPr>
            <w:rStyle w:val="Hyperlink"/>
            <w:sz w:val="23"/>
            <w:szCs w:val="23"/>
          </w:rPr>
          <w:t>http://gov.mb.ca/finance/budget11/index.htm</w:t>
        </w:r>
      </w:hyperlink>
    </w:p>
    <w:p w:rsidR="0039725E" w:rsidRPr="0039725E" w:rsidRDefault="0039725E" w:rsidP="0039725E">
      <w:pPr>
        <w:pStyle w:val="Default"/>
        <w:ind w:left="2124"/>
        <w:rPr>
          <w:sz w:val="23"/>
          <w:szCs w:val="23"/>
        </w:rPr>
      </w:pPr>
    </w:p>
    <w:p w:rsidR="0010255D" w:rsidRDefault="0039725E" w:rsidP="0010255D">
      <w:pPr>
        <w:pStyle w:val="Default"/>
        <w:ind w:left="2124"/>
        <w:rPr>
          <w:i/>
          <w:iCs/>
          <w:sz w:val="23"/>
          <w:szCs w:val="23"/>
        </w:rPr>
      </w:pPr>
      <w:r w:rsidRPr="0010255D">
        <w:rPr>
          <w:sz w:val="23"/>
          <w:szCs w:val="23"/>
        </w:rPr>
        <w:t xml:space="preserve">MA04 – </w:t>
      </w:r>
      <w:r w:rsidR="0010255D" w:rsidRPr="0010255D">
        <w:rPr>
          <w:sz w:val="23"/>
          <w:szCs w:val="23"/>
        </w:rPr>
        <w:t xml:space="preserve">Logement et développement communautaire du </w:t>
      </w:r>
      <w:r w:rsidRPr="0010255D">
        <w:rPr>
          <w:sz w:val="23"/>
          <w:szCs w:val="23"/>
        </w:rPr>
        <w:t xml:space="preserve">Manitoba (2010). </w:t>
      </w:r>
      <w:proofErr w:type="spellStart"/>
      <w:r w:rsidR="0010255D">
        <w:rPr>
          <w:sz w:val="23"/>
          <w:szCs w:val="23"/>
        </w:rPr>
        <w:t>FoyersClés</w:t>
      </w:r>
      <w:proofErr w:type="spellEnd"/>
      <w:r w:rsidRPr="0010255D">
        <w:rPr>
          <w:i/>
          <w:iCs/>
          <w:sz w:val="23"/>
          <w:szCs w:val="23"/>
        </w:rPr>
        <w:t xml:space="preserve">! </w:t>
      </w:r>
      <w:r w:rsidR="0010255D" w:rsidRPr="0010255D">
        <w:rPr>
          <w:i/>
          <w:iCs/>
          <w:sz w:val="23"/>
          <w:szCs w:val="23"/>
        </w:rPr>
        <w:t>Investir dans les communautés</w:t>
      </w:r>
      <w:proofErr w:type="gramStart"/>
      <w:r w:rsidR="0010255D" w:rsidRPr="0010255D">
        <w:rPr>
          <w:i/>
          <w:iCs/>
          <w:sz w:val="23"/>
          <w:szCs w:val="23"/>
        </w:rPr>
        <w:t>:  Notre</w:t>
      </w:r>
      <w:proofErr w:type="gramEnd"/>
      <w:r w:rsidR="0010255D" w:rsidRPr="0010255D">
        <w:rPr>
          <w:i/>
          <w:iCs/>
          <w:sz w:val="23"/>
          <w:szCs w:val="23"/>
        </w:rPr>
        <w:t xml:space="preserve"> plan sur deux ans. </w:t>
      </w:r>
      <w:r w:rsidR="0010255D">
        <w:rPr>
          <w:i/>
          <w:iCs/>
          <w:sz w:val="23"/>
          <w:szCs w:val="23"/>
        </w:rPr>
        <w:t>Notre engagement accru.</w:t>
      </w:r>
    </w:p>
    <w:p w:rsidR="0039725E" w:rsidRDefault="0080289E" w:rsidP="0010255D">
      <w:pPr>
        <w:pStyle w:val="Default"/>
        <w:ind w:left="2124"/>
        <w:rPr>
          <w:sz w:val="23"/>
          <w:szCs w:val="23"/>
        </w:rPr>
      </w:pPr>
      <w:hyperlink r:id="rId11" w:history="1">
        <w:r w:rsidR="0010255D" w:rsidRPr="000B572A">
          <w:rPr>
            <w:rStyle w:val="Hyperlink"/>
            <w:sz w:val="23"/>
            <w:szCs w:val="23"/>
          </w:rPr>
          <w:t>http://www.gov.mb.ca/housing/pubs/homeworks_brochure.fr.pdf</w:t>
        </w:r>
      </w:hyperlink>
    </w:p>
    <w:p w:rsidR="0010255D" w:rsidRDefault="0010255D" w:rsidP="0010255D">
      <w:pPr>
        <w:pStyle w:val="Default"/>
        <w:ind w:left="2124"/>
        <w:rPr>
          <w:sz w:val="23"/>
          <w:szCs w:val="23"/>
        </w:rPr>
      </w:pPr>
    </w:p>
    <w:p w:rsidR="0010255D" w:rsidRPr="0010255D" w:rsidRDefault="0010255D" w:rsidP="0010255D">
      <w:pPr>
        <w:pStyle w:val="Default"/>
        <w:ind w:left="2124"/>
        <w:rPr>
          <w:sz w:val="23"/>
          <w:szCs w:val="23"/>
        </w:rPr>
      </w:pPr>
    </w:p>
    <w:p w:rsidR="0039725E" w:rsidRPr="004D6437" w:rsidRDefault="0039725E" w:rsidP="0010255D">
      <w:pPr>
        <w:pStyle w:val="Default"/>
        <w:ind w:left="2124"/>
        <w:rPr>
          <w:sz w:val="23"/>
          <w:szCs w:val="23"/>
        </w:rPr>
      </w:pPr>
      <w:r w:rsidRPr="005B05EF">
        <w:rPr>
          <w:sz w:val="23"/>
          <w:szCs w:val="23"/>
        </w:rPr>
        <w:t xml:space="preserve">MA05 – </w:t>
      </w:r>
      <w:r w:rsidR="005B05EF" w:rsidRPr="005B05EF">
        <w:rPr>
          <w:sz w:val="23"/>
          <w:szCs w:val="23"/>
        </w:rPr>
        <w:t>Bureau des personnes handicapées du Manitoba</w:t>
      </w:r>
      <w:r w:rsidRPr="005B05EF">
        <w:rPr>
          <w:sz w:val="23"/>
          <w:szCs w:val="23"/>
        </w:rPr>
        <w:t xml:space="preserve"> (2009). </w:t>
      </w:r>
      <w:r w:rsidR="005B05EF" w:rsidRPr="00016358">
        <w:rPr>
          <w:i/>
          <w:sz w:val="23"/>
          <w:szCs w:val="23"/>
        </w:rPr>
        <w:t>Portes Ouvertes </w:t>
      </w:r>
      <w:proofErr w:type="gramStart"/>
      <w:r w:rsidR="005B05EF" w:rsidRPr="00016358">
        <w:rPr>
          <w:i/>
          <w:sz w:val="23"/>
          <w:szCs w:val="23"/>
        </w:rPr>
        <w:t>:  L’engagement</w:t>
      </w:r>
      <w:proofErr w:type="gramEnd"/>
      <w:r w:rsidR="005B05EF" w:rsidRPr="00016358">
        <w:rPr>
          <w:i/>
          <w:sz w:val="23"/>
          <w:szCs w:val="23"/>
        </w:rPr>
        <w:t xml:space="preserve"> du Manitoba à l’égard des personnes handicapées :  Un document de travail</w:t>
      </w:r>
      <w:r w:rsidR="005B05EF">
        <w:rPr>
          <w:sz w:val="23"/>
          <w:szCs w:val="23"/>
        </w:rPr>
        <w:t xml:space="preserve">. </w:t>
      </w:r>
      <w:hyperlink r:id="rId12" w:history="1">
        <w:r w:rsidR="005B05EF" w:rsidRPr="004D6437">
          <w:rPr>
            <w:rStyle w:val="Hyperlink"/>
            <w:sz w:val="23"/>
            <w:szCs w:val="23"/>
          </w:rPr>
          <w:t>http://www.gov.mb.ca/dio/pdf/opening_doors.fr.pdf</w:t>
        </w:r>
      </w:hyperlink>
      <w:r w:rsidR="005B05EF" w:rsidRPr="004D6437">
        <w:rPr>
          <w:sz w:val="23"/>
          <w:szCs w:val="23"/>
        </w:rPr>
        <w:t xml:space="preserve"> </w:t>
      </w:r>
    </w:p>
    <w:p w:rsidR="0010255D" w:rsidRPr="004D6437" w:rsidRDefault="0010255D" w:rsidP="0039725E">
      <w:pPr>
        <w:pStyle w:val="Default"/>
        <w:rPr>
          <w:sz w:val="23"/>
          <w:szCs w:val="23"/>
        </w:rPr>
      </w:pPr>
    </w:p>
    <w:p w:rsidR="0010255D" w:rsidRPr="004D6437" w:rsidRDefault="0010255D" w:rsidP="0039725E">
      <w:pPr>
        <w:pStyle w:val="Default"/>
        <w:rPr>
          <w:sz w:val="23"/>
          <w:szCs w:val="23"/>
        </w:rPr>
      </w:pPr>
    </w:p>
    <w:p w:rsidR="0039725E" w:rsidRPr="005B05EF" w:rsidRDefault="0039725E" w:rsidP="0010255D">
      <w:pPr>
        <w:pStyle w:val="Default"/>
        <w:ind w:left="2124"/>
        <w:rPr>
          <w:sz w:val="23"/>
          <w:szCs w:val="23"/>
        </w:rPr>
      </w:pPr>
      <w:r w:rsidRPr="005B05EF">
        <w:rPr>
          <w:sz w:val="23"/>
          <w:szCs w:val="23"/>
        </w:rPr>
        <w:t xml:space="preserve">MA06- </w:t>
      </w:r>
      <w:r w:rsidR="005B05EF" w:rsidRPr="005B05EF">
        <w:rPr>
          <w:sz w:val="23"/>
          <w:szCs w:val="23"/>
        </w:rPr>
        <w:t xml:space="preserve">Entente sur le marché du travail visant les personnes handicapées </w:t>
      </w:r>
      <w:r w:rsidR="005B05EF">
        <w:rPr>
          <w:sz w:val="23"/>
          <w:szCs w:val="23"/>
        </w:rPr>
        <w:t xml:space="preserve">du Manitoba – Rapport annuel </w:t>
      </w:r>
      <w:r w:rsidR="00016358">
        <w:rPr>
          <w:sz w:val="23"/>
          <w:szCs w:val="23"/>
        </w:rPr>
        <w:t>2009-2</w:t>
      </w:r>
      <w:r w:rsidRPr="005B05EF">
        <w:rPr>
          <w:sz w:val="23"/>
          <w:szCs w:val="23"/>
        </w:rPr>
        <w:t xml:space="preserve">010 </w:t>
      </w:r>
      <w:hyperlink r:id="rId13" w:history="1">
        <w:r w:rsidR="00016358" w:rsidRPr="000B572A">
          <w:rPr>
            <w:rStyle w:val="Hyperlink"/>
            <w:sz w:val="23"/>
            <w:szCs w:val="23"/>
          </w:rPr>
          <w:t>http://www.gov.mb.ca/jec/eia/pwd/pdfs/lmapd_report_09_10.fr.pdf</w:t>
        </w:r>
      </w:hyperlink>
      <w:r w:rsidR="00016358">
        <w:rPr>
          <w:sz w:val="23"/>
          <w:szCs w:val="23"/>
        </w:rPr>
        <w:t xml:space="preserve"> </w:t>
      </w:r>
    </w:p>
    <w:p w:rsidR="0010255D" w:rsidRPr="005B05EF" w:rsidRDefault="0010255D" w:rsidP="0039725E">
      <w:pPr>
        <w:pStyle w:val="Default"/>
        <w:rPr>
          <w:sz w:val="23"/>
          <w:szCs w:val="23"/>
        </w:rPr>
      </w:pPr>
    </w:p>
    <w:p w:rsidR="00016358" w:rsidRDefault="0039725E" w:rsidP="0010255D">
      <w:pPr>
        <w:pStyle w:val="Default"/>
        <w:ind w:left="2124"/>
        <w:rPr>
          <w:sz w:val="23"/>
          <w:szCs w:val="23"/>
          <w:lang w:val="en-CA"/>
        </w:rPr>
      </w:pPr>
      <w:r w:rsidRPr="00016358">
        <w:rPr>
          <w:sz w:val="23"/>
          <w:szCs w:val="23"/>
        </w:rPr>
        <w:t xml:space="preserve">MA07 – </w:t>
      </w:r>
      <w:r w:rsidR="00016358" w:rsidRPr="00016358">
        <w:rPr>
          <w:sz w:val="23"/>
          <w:szCs w:val="23"/>
        </w:rPr>
        <w:t>Gouvernement provincial du Manitoba</w:t>
      </w:r>
      <w:r w:rsidRPr="00016358">
        <w:rPr>
          <w:sz w:val="23"/>
          <w:szCs w:val="23"/>
        </w:rPr>
        <w:t xml:space="preserve"> (2001). </w:t>
      </w:r>
      <w:r w:rsidR="00016358" w:rsidRPr="00016358">
        <w:rPr>
          <w:i/>
          <w:sz w:val="23"/>
          <w:szCs w:val="23"/>
        </w:rPr>
        <w:t>Citoyens à part entière </w:t>
      </w:r>
      <w:proofErr w:type="gramStart"/>
      <w:r w:rsidR="00016358" w:rsidRPr="00016358">
        <w:rPr>
          <w:i/>
          <w:sz w:val="23"/>
          <w:szCs w:val="23"/>
        </w:rPr>
        <w:t>:  Une</w:t>
      </w:r>
      <w:proofErr w:type="gramEnd"/>
      <w:r w:rsidR="00016358" w:rsidRPr="00016358">
        <w:rPr>
          <w:i/>
          <w:sz w:val="23"/>
          <w:szCs w:val="23"/>
        </w:rPr>
        <w:t xml:space="preserve"> stratégie manitobaine pour les personnes ayant des déficiences.</w:t>
      </w:r>
      <w:r w:rsidR="00016358">
        <w:rPr>
          <w:sz w:val="23"/>
          <w:szCs w:val="23"/>
        </w:rPr>
        <w:t xml:space="preserve"> </w:t>
      </w:r>
      <w:r w:rsidRPr="00016358">
        <w:rPr>
          <w:sz w:val="23"/>
          <w:szCs w:val="23"/>
        </w:rPr>
        <w:t xml:space="preserve"> </w:t>
      </w:r>
      <w:hyperlink r:id="rId14" w:history="1">
        <w:r w:rsidR="00016358" w:rsidRPr="000B572A">
          <w:rPr>
            <w:rStyle w:val="Hyperlink"/>
            <w:sz w:val="23"/>
            <w:szCs w:val="23"/>
            <w:lang w:val="en-CA"/>
          </w:rPr>
          <w:t>http://www.gov.mb.ca/dio/citizenship/index.fr.html</w:t>
        </w:r>
      </w:hyperlink>
    </w:p>
    <w:p w:rsidR="00016358" w:rsidRDefault="00016358" w:rsidP="0010255D">
      <w:pPr>
        <w:pStyle w:val="Default"/>
        <w:ind w:left="2124"/>
        <w:rPr>
          <w:sz w:val="23"/>
          <w:szCs w:val="23"/>
          <w:lang w:val="en-CA"/>
        </w:rPr>
      </w:pPr>
    </w:p>
    <w:p w:rsidR="0039725E" w:rsidRPr="0039725E" w:rsidRDefault="00016358" w:rsidP="0010255D">
      <w:pPr>
        <w:pStyle w:val="Default"/>
        <w:ind w:left="2124"/>
        <w:rPr>
          <w:sz w:val="23"/>
          <w:szCs w:val="23"/>
          <w:lang w:val="en-CA"/>
        </w:rPr>
      </w:pPr>
      <w:proofErr w:type="spellStart"/>
      <w:proofErr w:type="gramStart"/>
      <w:r>
        <w:rPr>
          <w:sz w:val="23"/>
          <w:szCs w:val="23"/>
          <w:lang w:val="en-CA"/>
        </w:rPr>
        <w:t>Torjman</w:t>
      </w:r>
      <w:proofErr w:type="spellEnd"/>
      <w:r>
        <w:rPr>
          <w:sz w:val="23"/>
          <w:szCs w:val="23"/>
          <w:lang w:val="en-CA"/>
        </w:rPr>
        <w:t xml:space="preserve">, </w:t>
      </w:r>
      <w:r w:rsidR="0039725E" w:rsidRPr="0039725E">
        <w:rPr>
          <w:sz w:val="23"/>
          <w:szCs w:val="23"/>
          <w:lang w:val="en-CA"/>
        </w:rPr>
        <w:t>S., Battle, K. &amp; Mendelson, S., (2009).</w:t>
      </w:r>
      <w:proofErr w:type="gramEnd"/>
      <w:r w:rsidR="0039725E" w:rsidRPr="0039725E">
        <w:rPr>
          <w:sz w:val="23"/>
          <w:szCs w:val="23"/>
          <w:lang w:val="en-CA"/>
        </w:rPr>
        <w:t xml:space="preserve"> </w:t>
      </w:r>
      <w:r w:rsidR="0039725E" w:rsidRPr="0039725E">
        <w:rPr>
          <w:i/>
          <w:iCs/>
          <w:sz w:val="23"/>
          <w:szCs w:val="23"/>
          <w:lang w:val="en-CA"/>
        </w:rPr>
        <w:t>All Aboard Manitoba’s Poverty Train</w:t>
      </w:r>
      <w:r w:rsidR="0039725E" w:rsidRPr="0039725E">
        <w:rPr>
          <w:sz w:val="23"/>
          <w:szCs w:val="23"/>
          <w:lang w:val="en-CA"/>
        </w:rPr>
        <w:t xml:space="preserve">. </w:t>
      </w:r>
      <w:proofErr w:type="gramStart"/>
      <w:r w:rsidR="0039725E" w:rsidRPr="0039725E">
        <w:rPr>
          <w:sz w:val="23"/>
          <w:szCs w:val="23"/>
          <w:lang w:val="en-CA"/>
        </w:rPr>
        <w:t>Caledon Institute of Social Policy.</w:t>
      </w:r>
      <w:proofErr w:type="gramEnd"/>
      <w:r w:rsidR="0039725E" w:rsidRPr="0039725E">
        <w:rPr>
          <w:sz w:val="23"/>
          <w:szCs w:val="23"/>
          <w:lang w:val="en-CA"/>
        </w:rPr>
        <w:t xml:space="preserve"> http://www.caledoninst.org/Publications/PDF/816ENG.pdf </w:t>
      </w:r>
    </w:p>
    <w:p w:rsidR="0010255D" w:rsidRDefault="0010255D" w:rsidP="0039725E">
      <w:pPr>
        <w:pStyle w:val="Default"/>
        <w:rPr>
          <w:sz w:val="23"/>
          <w:szCs w:val="23"/>
          <w:lang w:val="en-CA"/>
        </w:rPr>
      </w:pPr>
    </w:p>
    <w:p w:rsidR="0010255D" w:rsidRDefault="0039725E" w:rsidP="0010255D">
      <w:pPr>
        <w:pStyle w:val="Default"/>
        <w:ind w:left="2124"/>
        <w:rPr>
          <w:sz w:val="20"/>
          <w:szCs w:val="20"/>
          <w:lang w:val="en-CA"/>
        </w:rPr>
      </w:pPr>
      <w:r w:rsidRPr="00016358">
        <w:rPr>
          <w:sz w:val="23"/>
          <w:szCs w:val="23"/>
        </w:rPr>
        <w:t xml:space="preserve">MA09 – </w:t>
      </w:r>
      <w:r w:rsidR="00016358" w:rsidRPr="00016358">
        <w:rPr>
          <w:sz w:val="23"/>
          <w:szCs w:val="23"/>
        </w:rPr>
        <w:t xml:space="preserve"> </w:t>
      </w:r>
      <w:r w:rsidRPr="00016358">
        <w:rPr>
          <w:sz w:val="23"/>
          <w:szCs w:val="23"/>
        </w:rPr>
        <w:t xml:space="preserve">Province </w:t>
      </w:r>
      <w:r w:rsidR="00016358" w:rsidRPr="00016358">
        <w:rPr>
          <w:sz w:val="23"/>
          <w:szCs w:val="23"/>
        </w:rPr>
        <w:t xml:space="preserve">du </w:t>
      </w:r>
      <w:r w:rsidRPr="00016358">
        <w:rPr>
          <w:sz w:val="23"/>
          <w:szCs w:val="23"/>
        </w:rPr>
        <w:t>Manitoba</w:t>
      </w:r>
      <w:r w:rsidR="00016358" w:rsidRPr="00016358">
        <w:rPr>
          <w:sz w:val="23"/>
          <w:szCs w:val="23"/>
        </w:rPr>
        <w:t xml:space="preserve">, Communiqué de presse, 9 juin </w:t>
      </w:r>
      <w:r w:rsidRPr="00016358">
        <w:rPr>
          <w:sz w:val="23"/>
          <w:szCs w:val="23"/>
        </w:rPr>
        <w:t xml:space="preserve">2011. </w:t>
      </w:r>
      <w:r w:rsidRPr="0039725E">
        <w:rPr>
          <w:i/>
          <w:iCs/>
          <w:sz w:val="23"/>
          <w:szCs w:val="23"/>
          <w:lang w:val="en-CA"/>
        </w:rPr>
        <w:t>Fourteen New Poverty-reduction Measures Offer Low-Income Manitobans a Hand Up: Mackintosh, Irvin-Ross, Howard</w:t>
      </w:r>
      <w:r w:rsidRPr="0039725E">
        <w:rPr>
          <w:sz w:val="23"/>
          <w:szCs w:val="23"/>
          <w:lang w:val="en-CA"/>
        </w:rPr>
        <w:t xml:space="preserve">. http://news.gov.mb.ca/news/index.html?archive=&amp;item=11702) </w:t>
      </w:r>
      <w:r w:rsidRPr="0039725E">
        <w:rPr>
          <w:sz w:val="20"/>
          <w:szCs w:val="20"/>
          <w:lang w:val="en-CA"/>
        </w:rPr>
        <w:t xml:space="preserve">51 </w:t>
      </w:r>
    </w:p>
    <w:p w:rsidR="0010255D" w:rsidRDefault="0010255D" w:rsidP="0010255D">
      <w:pPr>
        <w:pStyle w:val="Default"/>
        <w:ind w:left="2124"/>
        <w:rPr>
          <w:color w:val="auto"/>
          <w:sz w:val="23"/>
          <w:szCs w:val="23"/>
          <w:lang w:val="en-CA"/>
        </w:rPr>
      </w:pPr>
    </w:p>
    <w:p w:rsidR="0039725E" w:rsidRPr="004D6437" w:rsidRDefault="0039725E" w:rsidP="0010255D">
      <w:pPr>
        <w:pStyle w:val="Default"/>
        <w:ind w:left="2124"/>
        <w:rPr>
          <w:color w:val="auto"/>
          <w:sz w:val="23"/>
          <w:szCs w:val="23"/>
        </w:rPr>
      </w:pPr>
      <w:r w:rsidRPr="0039725E">
        <w:rPr>
          <w:color w:val="auto"/>
          <w:sz w:val="23"/>
          <w:szCs w:val="23"/>
          <w:lang w:val="en-CA"/>
        </w:rPr>
        <w:t xml:space="preserve">MA10 – </w:t>
      </w:r>
      <w:proofErr w:type="spellStart"/>
      <w:r w:rsidRPr="0039725E">
        <w:rPr>
          <w:color w:val="auto"/>
          <w:sz w:val="23"/>
          <w:szCs w:val="23"/>
          <w:lang w:val="en-CA"/>
        </w:rPr>
        <w:t>Howlett</w:t>
      </w:r>
      <w:proofErr w:type="spellEnd"/>
      <w:r w:rsidRPr="0039725E">
        <w:rPr>
          <w:color w:val="auto"/>
          <w:sz w:val="23"/>
          <w:szCs w:val="23"/>
          <w:lang w:val="en-CA"/>
        </w:rPr>
        <w:t xml:space="preserve">, D. (2011) </w:t>
      </w:r>
      <w:r w:rsidRPr="0039725E">
        <w:rPr>
          <w:i/>
          <w:iCs/>
          <w:color w:val="auto"/>
          <w:sz w:val="23"/>
          <w:szCs w:val="23"/>
          <w:lang w:val="en-CA"/>
        </w:rPr>
        <w:t xml:space="preserve">New Legislation Strengthens Poverty Reduction Strategy in Manitoba </w:t>
      </w:r>
      <w:r w:rsidRPr="0039725E">
        <w:rPr>
          <w:color w:val="auto"/>
          <w:sz w:val="23"/>
          <w:szCs w:val="23"/>
          <w:lang w:val="en-CA"/>
        </w:rPr>
        <w:t xml:space="preserve">Make Poverty History Canada blog. </w:t>
      </w:r>
      <w:hyperlink r:id="rId15" w:history="1">
        <w:r w:rsidR="0010255D" w:rsidRPr="004D6437">
          <w:rPr>
            <w:rStyle w:val="Hyperlink"/>
            <w:sz w:val="23"/>
            <w:szCs w:val="23"/>
          </w:rPr>
          <w:t>http://www.makepovertyhistory.ca/blog/new-legislation-strengthes-poverty-reduction-strategy</w:t>
        </w:r>
      </w:hyperlink>
      <w:r w:rsidRPr="004D6437">
        <w:rPr>
          <w:color w:val="auto"/>
          <w:sz w:val="23"/>
          <w:szCs w:val="23"/>
        </w:rPr>
        <w:t xml:space="preserve"> </w:t>
      </w:r>
    </w:p>
    <w:p w:rsidR="0010255D" w:rsidRPr="004D6437" w:rsidRDefault="0010255D" w:rsidP="0010255D">
      <w:pPr>
        <w:pStyle w:val="Default"/>
        <w:ind w:left="2124"/>
        <w:rPr>
          <w:color w:val="auto"/>
          <w:sz w:val="23"/>
          <w:szCs w:val="23"/>
        </w:rPr>
      </w:pPr>
    </w:p>
    <w:p w:rsidR="00016358" w:rsidRDefault="0039725E" w:rsidP="0010255D">
      <w:pPr>
        <w:pStyle w:val="Default"/>
        <w:ind w:left="2124"/>
        <w:rPr>
          <w:color w:val="auto"/>
          <w:sz w:val="23"/>
          <w:szCs w:val="23"/>
        </w:rPr>
      </w:pPr>
      <w:r w:rsidRPr="00016358">
        <w:rPr>
          <w:color w:val="auto"/>
          <w:sz w:val="23"/>
          <w:szCs w:val="23"/>
        </w:rPr>
        <w:t xml:space="preserve">MA11 – </w:t>
      </w:r>
      <w:r w:rsidR="00016358" w:rsidRPr="00016358">
        <w:rPr>
          <w:color w:val="auto"/>
          <w:sz w:val="23"/>
          <w:szCs w:val="23"/>
        </w:rPr>
        <w:t xml:space="preserve">La loi manitobaine sur la stratégie de </w:t>
      </w:r>
      <w:r w:rsidR="00016358">
        <w:rPr>
          <w:color w:val="auto"/>
          <w:sz w:val="23"/>
          <w:szCs w:val="23"/>
        </w:rPr>
        <w:t>ré</w:t>
      </w:r>
      <w:r w:rsidR="00016358" w:rsidRPr="00016358">
        <w:rPr>
          <w:color w:val="auto"/>
          <w:sz w:val="23"/>
          <w:szCs w:val="23"/>
        </w:rPr>
        <w:t xml:space="preserve">duction de la pauvreté </w:t>
      </w:r>
      <w:r w:rsidRPr="00016358">
        <w:rPr>
          <w:color w:val="auto"/>
          <w:sz w:val="23"/>
          <w:szCs w:val="23"/>
        </w:rPr>
        <w:t xml:space="preserve"> (2011). </w:t>
      </w:r>
    </w:p>
    <w:p w:rsidR="0039725E" w:rsidRDefault="0080289E" w:rsidP="0010255D">
      <w:pPr>
        <w:pStyle w:val="Default"/>
        <w:ind w:left="2124"/>
        <w:rPr>
          <w:color w:val="auto"/>
          <w:sz w:val="23"/>
          <w:szCs w:val="23"/>
        </w:rPr>
      </w:pPr>
      <w:hyperlink r:id="rId16" w:history="1">
        <w:r w:rsidR="00016358" w:rsidRPr="000B572A">
          <w:rPr>
            <w:rStyle w:val="Hyperlink"/>
            <w:sz w:val="23"/>
            <w:szCs w:val="23"/>
          </w:rPr>
          <w:t>http://www.canlii.org/fr/mb/legis/lois/cplm-c-p94.7/89386/cplm-c-p94.7.htm</w:t>
        </w:r>
      </w:hyperlink>
      <w:r w:rsidR="00016358">
        <w:rPr>
          <w:color w:val="auto"/>
          <w:sz w:val="23"/>
          <w:szCs w:val="23"/>
        </w:rPr>
        <w:t xml:space="preserve">  </w:t>
      </w:r>
    </w:p>
    <w:p w:rsidR="00016358" w:rsidRPr="00016358" w:rsidRDefault="00016358" w:rsidP="0010255D">
      <w:pPr>
        <w:pStyle w:val="Default"/>
        <w:ind w:left="2124"/>
        <w:rPr>
          <w:color w:val="auto"/>
          <w:sz w:val="23"/>
          <w:szCs w:val="23"/>
        </w:rPr>
      </w:pPr>
    </w:p>
    <w:p w:rsidR="0010255D" w:rsidRDefault="0039725E" w:rsidP="0010255D">
      <w:pPr>
        <w:pStyle w:val="Default"/>
        <w:ind w:left="2124"/>
        <w:rPr>
          <w:color w:val="auto"/>
          <w:sz w:val="23"/>
          <w:szCs w:val="23"/>
          <w:lang w:val="en-CA"/>
        </w:rPr>
      </w:pPr>
      <w:r w:rsidRPr="00016358">
        <w:rPr>
          <w:color w:val="auto"/>
          <w:sz w:val="23"/>
          <w:szCs w:val="23"/>
        </w:rPr>
        <w:t xml:space="preserve">MA12 – </w:t>
      </w:r>
      <w:r w:rsidR="00016358" w:rsidRPr="00016358">
        <w:rPr>
          <w:color w:val="auto"/>
          <w:sz w:val="23"/>
          <w:szCs w:val="23"/>
        </w:rPr>
        <w:t>Manitoba sans obstacle – Communiqué de presse, 1er juin 2011</w:t>
      </w:r>
      <w:r w:rsidRPr="00016358">
        <w:rPr>
          <w:color w:val="auto"/>
          <w:sz w:val="23"/>
          <w:szCs w:val="23"/>
        </w:rPr>
        <w:t xml:space="preserve">, 2011. </w:t>
      </w:r>
      <w:proofErr w:type="gramStart"/>
      <w:r w:rsidRPr="0039725E">
        <w:rPr>
          <w:color w:val="auto"/>
          <w:sz w:val="23"/>
          <w:szCs w:val="23"/>
          <w:lang w:val="en-CA"/>
        </w:rPr>
        <w:t>Government Bill Falls Well Short of Honouring Longstanding Commitments.</w:t>
      </w:r>
      <w:proofErr w:type="gramEnd"/>
      <w:r w:rsidRPr="0039725E">
        <w:rPr>
          <w:color w:val="auto"/>
          <w:sz w:val="23"/>
          <w:szCs w:val="23"/>
          <w:lang w:val="en-CA"/>
        </w:rPr>
        <w:t xml:space="preserve"> </w:t>
      </w:r>
      <w:hyperlink r:id="rId17" w:history="1">
        <w:r w:rsidR="0010255D" w:rsidRPr="000B572A">
          <w:rPr>
            <w:rStyle w:val="Hyperlink"/>
            <w:sz w:val="23"/>
            <w:szCs w:val="23"/>
            <w:lang w:val="en-CA"/>
          </w:rPr>
          <w:t>http://www.smd.mb.ca/uploads/Bill%2047%20Media%20Release.pdf</w:t>
        </w:r>
      </w:hyperlink>
    </w:p>
    <w:p w:rsidR="0039725E" w:rsidRPr="0039725E" w:rsidRDefault="0039725E" w:rsidP="0010255D">
      <w:pPr>
        <w:pStyle w:val="Default"/>
        <w:ind w:left="2124"/>
        <w:rPr>
          <w:color w:val="auto"/>
          <w:sz w:val="23"/>
          <w:szCs w:val="23"/>
          <w:lang w:val="en-CA"/>
        </w:rPr>
      </w:pPr>
      <w:r w:rsidRPr="0039725E">
        <w:rPr>
          <w:color w:val="auto"/>
          <w:sz w:val="23"/>
          <w:szCs w:val="23"/>
          <w:lang w:val="en-CA"/>
        </w:rPr>
        <w:t xml:space="preserve"> </w:t>
      </w:r>
    </w:p>
    <w:p w:rsidR="0039725E" w:rsidRPr="004D6437" w:rsidRDefault="0039725E" w:rsidP="0010255D">
      <w:pPr>
        <w:pStyle w:val="Default"/>
        <w:ind w:left="2124"/>
        <w:rPr>
          <w:color w:val="auto"/>
          <w:sz w:val="23"/>
          <w:szCs w:val="23"/>
        </w:rPr>
      </w:pPr>
      <w:r w:rsidRPr="0039725E">
        <w:rPr>
          <w:color w:val="auto"/>
          <w:sz w:val="23"/>
          <w:szCs w:val="23"/>
          <w:lang w:val="en-CA"/>
        </w:rPr>
        <w:t xml:space="preserve">MA13 – </w:t>
      </w:r>
      <w:r w:rsidR="00434093">
        <w:rPr>
          <w:color w:val="auto"/>
          <w:sz w:val="23"/>
          <w:szCs w:val="23"/>
          <w:lang w:val="en-CA"/>
        </w:rPr>
        <w:t xml:space="preserve">Site Web de </w:t>
      </w:r>
      <w:r w:rsidRPr="0039725E">
        <w:rPr>
          <w:color w:val="auto"/>
          <w:sz w:val="23"/>
          <w:szCs w:val="23"/>
          <w:lang w:val="en-CA"/>
        </w:rPr>
        <w:t xml:space="preserve">Barrier-Free Manitoba. </w:t>
      </w:r>
      <w:r w:rsidRPr="0039725E">
        <w:rPr>
          <w:i/>
          <w:iCs/>
          <w:color w:val="auto"/>
          <w:sz w:val="23"/>
          <w:szCs w:val="23"/>
          <w:lang w:val="en-CA"/>
        </w:rPr>
        <w:t xml:space="preserve">The Next Steps </w:t>
      </w:r>
      <w:proofErr w:type="gramStart"/>
      <w:r w:rsidRPr="0039725E">
        <w:rPr>
          <w:i/>
          <w:iCs/>
          <w:color w:val="auto"/>
          <w:sz w:val="23"/>
          <w:szCs w:val="23"/>
          <w:lang w:val="en-CA"/>
        </w:rPr>
        <w:t>Forward</w:t>
      </w:r>
      <w:proofErr w:type="gramEnd"/>
      <w:r w:rsidRPr="0039725E">
        <w:rPr>
          <w:i/>
          <w:iCs/>
          <w:color w:val="auto"/>
          <w:sz w:val="23"/>
          <w:szCs w:val="23"/>
          <w:lang w:val="en-CA"/>
        </w:rPr>
        <w:t xml:space="preserve"> are Now the Law: A Recap</w:t>
      </w:r>
      <w:r w:rsidRPr="0039725E">
        <w:rPr>
          <w:color w:val="auto"/>
          <w:sz w:val="23"/>
          <w:szCs w:val="23"/>
          <w:lang w:val="en-CA"/>
        </w:rPr>
        <w:t xml:space="preserve">. </w:t>
      </w:r>
      <w:hyperlink r:id="rId18" w:history="1">
        <w:r w:rsidR="0010255D" w:rsidRPr="004D6437">
          <w:rPr>
            <w:rStyle w:val="Hyperlink"/>
            <w:sz w:val="23"/>
            <w:szCs w:val="23"/>
          </w:rPr>
          <w:t>http://www.barrierfreemb.com/</w:t>
        </w:r>
      </w:hyperlink>
      <w:r w:rsidRPr="004D6437">
        <w:rPr>
          <w:color w:val="auto"/>
          <w:sz w:val="23"/>
          <w:szCs w:val="23"/>
        </w:rPr>
        <w:t xml:space="preserve"> </w:t>
      </w:r>
    </w:p>
    <w:p w:rsidR="0010255D" w:rsidRPr="004D6437" w:rsidRDefault="0010255D" w:rsidP="0039725E">
      <w:pPr>
        <w:pStyle w:val="Default"/>
        <w:rPr>
          <w:color w:val="auto"/>
          <w:sz w:val="23"/>
          <w:szCs w:val="23"/>
        </w:rPr>
      </w:pPr>
    </w:p>
    <w:p w:rsidR="0039725E" w:rsidRPr="004D6437" w:rsidRDefault="0039725E" w:rsidP="0010255D">
      <w:pPr>
        <w:pStyle w:val="Default"/>
        <w:ind w:left="2124"/>
        <w:rPr>
          <w:color w:val="auto"/>
          <w:sz w:val="23"/>
          <w:szCs w:val="23"/>
        </w:rPr>
      </w:pPr>
      <w:r w:rsidRPr="00434093">
        <w:rPr>
          <w:color w:val="auto"/>
          <w:sz w:val="23"/>
          <w:szCs w:val="23"/>
        </w:rPr>
        <w:t xml:space="preserve">MA14 – </w:t>
      </w:r>
      <w:r w:rsidR="00434093" w:rsidRPr="00434093">
        <w:rPr>
          <w:color w:val="auto"/>
          <w:sz w:val="23"/>
          <w:szCs w:val="23"/>
        </w:rPr>
        <w:t xml:space="preserve">Lois </w:t>
      </w:r>
      <w:r w:rsidR="00434093">
        <w:rPr>
          <w:color w:val="auto"/>
          <w:sz w:val="23"/>
          <w:szCs w:val="23"/>
        </w:rPr>
        <w:t>s</w:t>
      </w:r>
      <w:r w:rsidR="00434093" w:rsidRPr="00434093">
        <w:rPr>
          <w:color w:val="auto"/>
          <w:sz w:val="23"/>
          <w:szCs w:val="23"/>
        </w:rPr>
        <w:t xml:space="preserve">ur l’accessibilité pour les Manitobains. </w:t>
      </w:r>
      <w:r w:rsidR="00434093">
        <w:rPr>
          <w:color w:val="auto"/>
          <w:sz w:val="23"/>
          <w:szCs w:val="23"/>
        </w:rPr>
        <w:t xml:space="preserve"> </w:t>
      </w:r>
      <w:hyperlink r:id="rId19" w:history="1">
        <w:r w:rsidR="00434093" w:rsidRPr="004D6437">
          <w:rPr>
            <w:rStyle w:val="Hyperlink"/>
            <w:sz w:val="23"/>
            <w:szCs w:val="23"/>
          </w:rPr>
          <w:t>http://web2.gov.mb.ca/laws/statutes/ccsm/a001-7f.php</w:t>
        </w:r>
      </w:hyperlink>
      <w:r w:rsidR="00434093" w:rsidRPr="004D6437">
        <w:rPr>
          <w:color w:val="auto"/>
          <w:sz w:val="23"/>
          <w:szCs w:val="23"/>
        </w:rPr>
        <w:t xml:space="preserve"> </w:t>
      </w:r>
    </w:p>
    <w:p w:rsidR="0010255D" w:rsidRPr="004D6437" w:rsidRDefault="0010255D" w:rsidP="0010255D">
      <w:pPr>
        <w:pStyle w:val="Default"/>
        <w:ind w:left="2124"/>
        <w:rPr>
          <w:color w:val="auto"/>
          <w:sz w:val="23"/>
          <w:szCs w:val="23"/>
        </w:rPr>
      </w:pPr>
    </w:p>
    <w:p w:rsidR="0010255D" w:rsidRPr="004D6437" w:rsidRDefault="0010255D" w:rsidP="0039725E">
      <w:pPr>
        <w:pStyle w:val="Default"/>
        <w:rPr>
          <w:b/>
          <w:bCs/>
          <w:color w:val="auto"/>
          <w:sz w:val="23"/>
          <w:szCs w:val="23"/>
        </w:rPr>
      </w:pPr>
    </w:p>
    <w:p w:rsidR="0010255D" w:rsidRPr="004D6437" w:rsidRDefault="0010255D" w:rsidP="0039725E">
      <w:pPr>
        <w:pStyle w:val="Default"/>
        <w:rPr>
          <w:b/>
          <w:bCs/>
          <w:color w:val="auto"/>
          <w:sz w:val="23"/>
          <w:szCs w:val="23"/>
        </w:rPr>
      </w:pPr>
    </w:p>
    <w:p w:rsidR="0010255D" w:rsidRPr="004D6437" w:rsidRDefault="0010255D" w:rsidP="0039725E">
      <w:pPr>
        <w:pStyle w:val="Default"/>
        <w:rPr>
          <w:b/>
          <w:bCs/>
          <w:color w:val="auto"/>
          <w:sz w:val="23"/>
          <w:szCs w:val="23"/>
        </w:rPr>
      </w:pPr>
    </w:p>
    <w:p w:rsidR="0039725E" w:rsidRDefault="0080289E" w:rsidP="00C15DE7">
      <w:pPr>
        <w:pStyle w:val="Default"/>
        <w:ind w:left="1416" w:firstLine="708"/>
        <w:rPr>
          <w:b/>
          <w:bCs/>
          <w:color w:val="auto"/>
          <w:sz w:val="28"/>
          <w:szCs w:val="28"/>
          <w:lang w:val="en-CA"/>
        </w:rPr>
      </w:pPr>
      <w:r>
        <w:rPr>
          <w:b/>
          <w:bCs/>
          <w:color w:val="auto"/>
          <w:sz w:val="28"/>
          <w:szCs w:val="28"/>
          <w:lang w:val="en-CA"/>
        </w:rPr>
        <w:t>N</w:t>
      </w:r>
      <w:r w:rsidR="00C15DE7" w:rsidRPr="00C15DE7">
        <w:rPr>
          <w:b/>
          <w:bCs/>
          <w:color w:val="auto"/>
          <w:sz w:val="28"/>
          <w:szCs w:val="28"/>
          <w:lang w:val="en-CA"/>
        </w:rPr>
        <w:t>ouveau</w:t>
      </w:r>
      <w:r w:rsidR="0039725E" w:rsidRPr="00C15DE7">
        <w:rPr>
          <w:b/>
          <w:bCs/>
          <w:color w:val="auto"/>
          <w:sz w:val="28"/>
          <w:szCs w:val="28"/>
          <w:lang w:val="en-CA"/>
        </w:rPr>
        <w:t xml:space="preserve"> Brunswick </w:t>
      </w:r>
    </w:p>
    <w:p w:rsidR="00C15DE7" w:rsidRPr="00C15DE7" w:rsidRDefault="00C15DE7" w:rsidP="0039725E">
      <w:pPr>
        <w:pStyle w:val="Default"/>
        <w:rPr>
          <w:color w:val="auto"/>
          <w:sz w:val="28"/>
          <w:szCs w:val="28"/>
          <w:lang w:val="en-CA"/>
        </w:rPr>
      </w:pPr>
    </w:p>
    <w:p w:rsidR="00434093" w:rsidRDefault="0039725E" w:rsidP="00434093">
      <w:pPr>
        <w:pStyle w:val="Default"/>
        <w:ind w:left="2124"/>
        <w:rPr>
          <w:color w:val="auto"/>
          <w:sz w:val="23"/>
          <w:szCs w:val="23"/>
        </w:rPr>
      </w:pPr>
      <w:r w:rsidRPr="00434093">
        <w:rPr>
          <w:color w:val="auto"/>
          <w:sz w:val="23"/>
          <w:szCs w:val="23"/>
        </w:rPr>
        <w:t xml:space="preserve">NB01 – </w:t>
      </w:r>
      <w:r w:rsidR="00434093" w:rsidRPr="00434093">
        <w:rPr>
          <w:color w:val="auto"/>
          <w:sz w:val="23"/>
          <w:szCs w:val="23"/>
        </w:rPr>
        <w:t>Société d’inclusion économique et sociale du Nouveau Brunswick (2009) -</w:t>
      </w:r>
      <w:r w:rsidRPr="00434093">
        <w:rPr>
          <w:i/>
          <w:color w:val="auto"/>
          <w:sz w:val="23"/>
          <w:szCs w:val="23"/>
        </w:rPr>
        <w:t xml:space="preserve"> </w:t>
      </w:r>
      <w:r w:rsidR="00434093" w:rsidRPr="00434093">
        <w:rPr>
          <w:i/>
          <w:color w:val="auto"/>
          <w:sz w:val="23"/>
          <w:szCs w:val="23"/>
        </w:rPr>
        <w:t>Ensemble pour vaincr</w:t>
      </w:r>
      <w:r w:rsidR="00857656">
        <w:rPr>
          <w:i/>
          <w:color w:val="auto"/>
          <w:sz w:val="23"/>
          <w:szCs w:val="23"/>
        </w:rPr>
        <w:t>e</w:t>
      </w:r>
      <w:r w:rsidR="00434093" w:rsidRPr="00434093">
        <w:rPr>
          <w:i/>
          <w:color w:val="auto"/>
          <w:sz w:val="23"/>
          <w:szCs w:val="23"/>
        </w:rPr>
        <w:t xml:space="preserve"> la pauvreté </w:t>
      </w:r>
      <w:proofErr w:type="gramStart"/>
      <w:r w:rsidR="00434093" w:rsidRPr="00434093">
        <w:rPr>
          <w:i/>
          <w:color w:val="auto"/>
          <w:sz w:val="23"/>
          <w:szCs w:val="23"/>
        </w:rPr>
        <w:t>:  La</w:t>
      </w:r>
      <w:proofErr w:type="gramEnd"/>
      <w:r w:rsidR="00434093" w:rsidRPr="00434093">
        <w:rPr>
          <w:i/>
          <w:color w:val="auto"/>
          <w:sz w:val="23"/>
          <w:szCs w:val="23"/>
        </w:rPr>
        <w:t xml:space="preserve"> Société d’inclusion économique et sociale du Nouveau Brunswick</w:t>
      </w:r>
      <w:r w:rsidR="00434093">
        <w:rPr>
          <w:color w:val="auto"/>
          <w:sz w:val="23"/>
          <w:szCs w:val="23"/>
        </w:rPr>
        <w:t xml:space="preserve">; </w:t>
      </w:r>
      <w:hyperlink r:id="rId20" w:history="1">
        <w:r w:rsidR="00434093" w:rsidRPr="000B572A">
          <w:rPr>
            <w:rStyle w:val="Hyperlink"/>
            <w:sz w:val="23"/>
            <w:szCs w:val="23"/>
          </w:rPr>
          <w:t>http://www2.gnb.ca/content/dam/gnb/Departments/esic/pdf/Booklet-f.pdf</w:t>
        </w:r>
      </w:hyperlink>
      <w:r w:rsidR="00434093" w:rsidRPr="00434093">
        <w:rPr>
          <w:color w:val="auto"/>
          <w:sz w:val="23"/>
          <w:szCs w:val="23"/>
        </w:rPr>
        <w:t xml:space="preserve"> </w:t>
      </w:r>
      <w:r w:rsidR="00434093">
        <w:rPr>
          <w:color w:val="auto"/>
          <w:sz w:val="23"/>
          <w:szCs w:val="23"/>
        </w:rPr>
        <w:t xml:space="preserve"> </w:t>
      </w:r>
    </w:p>
    <w:p w:rsidR="00434093" w:rsidRDefault="00434093" w:rsidP="00434093">
      <w:pPr>
        <w:pStyle w:val="Default"/>
        <w:ind w:left="2124"/>
        <w:rPr>
          <w:color w:val="auto"/>
          <w:sz w:val="23"/>
          <w:szCs w:val="23"/>
        </w:rPr>
      </w:pPr>
    </w:p>
    <w:p w:rsidR="00434093" w:rsidRDefault="00434093" w:rsidP="00434093">
      <w:pPr>
        <w:pStyle w:val="Default"/>
        <w:ind w:left="2124"/>
        <w:rPr>
          <w:color w:val="auto"/>
          <w:sz w:val="23"/>
          <w:szCs w:val="23"/>
        </w:rPr>
      </w:pPr>
    </w:p>
    <w:p w:rsidR="0039725E" w:rsidRDefault="0039725E" w:rsidP="00857656">
      <w:pPr>
        <w:pStyle w:val="Default"/>
        <w:ind w:left="2124"/>
        <w:rPr>
          <w:color w:val="auto"/>
          <w:sz w:val="23"/>
          <w:szCs w:val="23"/>
          <w:lang w:val="en-CA"/>
        </w:rPr>
      </w:pPr>
      <w:r w:rsidRPr="002C563B">
        <w:rPr>
          <w:color w:val="auto"/>
          <w:sz w:val="23"/>
          <w:szCs w:val="23"/>
        </w:rPr>
        <w:t xml:space="preserve">NB02 – </w:t>
      </w:r>
      <w:r w:rsidR="002C563B">
        <w:rPr>
          <w:color w:val="auto"/>
          <w:sz w:val="23"/>
          <w:szCs w:val="23"/>
        </w:rPr>
        <w:t>Conseil du Pre</w:t>
      </w:r>
      <w:r w:rsidR="002C563B" w:rsidRPr="002C563B">
        <w:rPr>
          <w:color w:val="auto"/>
          <w:sz w:val="23"/>
          <w:szCs w:val="23"/>
        </w:rPr>
        <w:t xml:space="preserve">mier Ministre du Nouveau Brunswick sur la condition des personnes handicapées (2010) </w:t>
      </w:r>
      <w:r w:rsidRPr="002C563B">
        <w:rPr>
          <w:color w:val="auto"/>
          <w:sz w:val="23"/>
          <w:szCs w:val="23"/>
        </w:rPr>
        <w:t xml:space="preserve">New Brunswick </w:t>
      </w:r>
      <w:proofErr w:type="spellStart"/>
      <w:r w:rsidRPr="002C563B">
        <w:rPr>
          <w:color w:val="auto"/>
          <w:sz w:val="23"/>
          <w:szCs w:val="23"/>
        </w:rPr>
        <w:t>Premier’s</w:t>
      </w:r>
      <w:proofErr w:type="spellEnd"/>
      <w:r w:rsidRPr="002C563B">
        <w:rPr>
          <w:color w:val="auto"/>
          <w:sz w:val="23"/>
          <w:szCs w:val="23"/>
        </w:rPr>
        <w:t xml:space="preserve"> Council on the </w:t>
      </w:r>
      <w:proofErr w:type="spellStart"/>
      <w:r w:rsidRPr="002C563B">
        <w:rPr>
          <w:color w:val="auto"/>
          <w:sz w:val="23"/>
          <w:szCs w:val="23"/>
        </w:rPr>
        <w:t>Status</w:t>
      </w:r>
      <w:proofErr w:type="spellEnd"/>
      <w:r w:rsidRPr="002C563B">
        <w:rPr>
          <w:color w:val="auto"/>
          <w:sz w:val="23"/>
          <w:szCs w:val="23"/>
        </w:rPr>
        <w:t xml:space="preserve"> of </w:t>
      </w:r>
      <w:proofErr w:type="spellStart"/>
      <w:r w:rsidRPr="002C563B">
        <w:rPr>
          <w:color w:val="auto"/>
          <w:sz w:val="23"/>
          <w:szCs w:val="23"/>
        </w:rPr>
        <w:t>Disabled</w:t>
      </w:r>
      <w:proofErr w:type="spellEnd"/>
      <w:r w:rsidRPr="002C563B">
        <w:rPr>
          <w:color w:val="auto"/>
          <w:sz w:val="23"/>
          <w:szCs w:val="23"/>
        </w:rPr>
        <w:t xml:space="preserve"> </w:t>
      </w:r>
      <w:proofErr w:type="spellStart"/>
      <w:r w:rsidRPr="002C563B">
        <w:rPr>
          <w:color w:val="auto"/>
          <w:sz w:val="23"/>
          <w:szCs w:val="23"/>
        </w:rPr>
        <w:t>Persons</w:t>
      </w:r>
      <w:proofErr w:type="spellEnd"/>
      <w:r w:rsidRPr="002C563B">
        <w:rPr>
          <w:color w:val="auto"/>
          <w:sz w:val="23"/>
          <w:szCs w:val="23"/>
        </w:rPr>
        <w:t xml:space="preserve"> (2010). </w:t>
      </w:r>
      <w:r w:rsidR="002C563B" w:rsidRPr="002C563B">
        <w:rPr>
          <w:i/>
          <w:color w:val="auto"/>
          <w:sz w:val="23"/>
          <w:szCs w:val="23"/>
        </w:rPr>
        <w:t>Rapport d’étape</w:t>
      </w:r>
      <w:r w:rsidR="002C563B" w:rsidRPr="002C563B">
        <w:rPr>
          <w:color w:val="auto"/>
          <w:sz w:val="23"/>
          <w:szCs w:val="23"/>
        </w:rPr>
        <w:t xml:space="preserve"> </w:t>
      </w:r>
      <w:r w:rsidR="002C563B">
        <w:rPr>
          <w:i/>
          <w:iCs/>
          <w:color w:val="auto"/>
          <w:sz w:val="23"/>
          <w:szCs w:val="23"/>
        </w:rPr>
        <w:t xml:space="preserve">#2 et fiche de rendement, décembre 2009 : réactions aux recommandations </w:t>
      </w:r>
      <w:r w:rsidR="00857656">
        <w:rPr>
          <w:i/>
          <w:iCs/>
          <w:color w:val="auto"/>
          <w:sz w:val="23"/>
          <w:szCs w:val="23"/>
        </w:rPr>
        <w:t>issues du Plan d’action pour les personnes handicapées</w:t>
      </w:r>
      <w:proofErr w:type="gramStart"/>
      <w:r w:rsidR="00857656">
        <w:rPr>
          <w:i/>
          <w:iCs/>
          <w:color w:val="auto"/>
          <w:sz w:val="23"/>
          <w:szCs w:val="23"/>
        </w:rPr>
        <w:t>.(</w:t>
      </w:r>
      <w:proofErr w:type="gramEnd"/>
      <w:r w:rsidR="00857656">
        <w:rPr>
          <w:i/>
          <w:iCs/>
          <w:color w:val="auto"/>
          <w:sz w:val="23"/>
          <w:szCs w:val="23"/>
        </w:rPr>
        <w:t>en anglais)</w:t>
      </w:r>
      <w:r w:rsidRPr="00857656">
        <w:rPr>
          <w:color w:val="auto"/>
          <w:sz w:val="23"/>
          <w:szCs w:val="23"/>
        </w:rPr>
        <w:t xml:space="preserve">. </w:t>
      </w:r>
      <w:hyperlink r:id="rId21" w:history="1">
        <w:r w:rsidR="00434093" w:rsidRPr="000B572A">
          <w:rPr>
            <w:rStyle w:val="Hyperlink"/>
            <w:sz w:val="23"/>
            <w:szCs w:val="23"/>
            <w:lang w:val="en-CA"/>
          </w:rPr>
          <w:t>http://www.gnb.ca/0048/pcsdp/PDF/2009StatusReport2-e.pdf</w:t>
        </w:r>
      </w:hyperlink>
      <w:r w:rsidRPr="0039725E">
        <w:rPr>
          <w:color w:val="auto"/>
          <w:sz w:val="23"/>
          <w:szCs w:val="23"/>
          <w:lang w:val="en-CA"/>
        </w:rPr>
        <w:t xml:space="preserve"> </w:t>
      </w:r>
    </w:p>
    <w:p w:rsidR="00434093" w:rsidRDefault="00434093" w:rsidP="00434093">
      <w:pPr>
        <w:pStyle w:val="Default"/>
        <w:ind w:left="2124"/>
        <w:rPr>
          <w:color w:val="auto"/>
          <w:sz w:val="23"/>
          <w:szCs w:val="23"/>
          <w:lang w:val="en-CA"/>
        </w:rPr>
      </w:pPr>
    </w:p>
    <w:p w:rsidR="00434093" w:rsidRPr="0039725E" w:rsidRDefault="00434093" w:rsidP="00434093">
      <w:pPr>
        <w:pStyle w:val="Default"/>
        <w:ind w:left="2124"/>
        <w:rPr>
          <w:color w:val="auto"/>
          <w:sz w:val="23"/>
          <w:szCs w:val="23"/>
          <w:lang w:val="en-CA"/>
        </w:rPr>
      </w:pPr>
    </w:p>
    <w:p w:rsidR="0039725E" w:rsidRPr="00192605" w:rsidRDefault="0039725E" w:rsidP="00857656">
      <w:pPr>
        <w:pStyle w:val="Default"/>
        <w:ind w:left="2124"/>
        <w:rPr>
          <w:rFonts w:asciiTheme="minorHAnsi" w:hAnsiTheme="minorHAnsi"/>
          <w:color w:val="auto"/>
          <w:sz w:val="22"/>
          <w:szCs w:val="22"/>
        </w:rPr>
      </w:pPr>
      <w:r w:rsidRPr="00192605">
        <w:rPr>
          <w:rFonts w:asciiTheme="minorHAnsi" w:hAnsiTheme="minorHAnsi"/>
          <w:color w:val="auto"/>
          <w:sz w:val="22"/>
          <w:szCs w:val="22"/>
        </w:rPr>
        <w:t xml:space="preserve">NB03 – </w:t>
      </w:r>
      <w:r w:rsidR="00857656" w:rsidRPr="00192605">
        <w:rPr>
          <w:rFonts w:asciiTheme="minorHAnsi" w:hAnsiTheme="minorHAnsi"/>
          <w:color w:val="auto"/>
          <w:sz w:val="22"/>
          <w:szCs w:val="22"/>
        </w:rPr>
        <w:t>Société d’inclusion économique et sociale du Nouveau Brunswick (2011) -</w:t>
      </w:r>
      <w:r w:rsidR="00857656" w:rsidRPr="00192605">
        <w:rPr>
          <w:rFonts w:asciiTheme="minorHAnsi" w:hAnsiTheme="minorHAnsi"/>
          <w:i/>
          <w:color w:val="auto"/>
          <w:sz w:val="22"/>
          <w:szCs w:val="22"/>
        </w:rPr>
        <w:t xml:space="preserve"> Ensemble pour vaincre la pauvreté </w:t>
      </w:r>
      <w:proofErr w:type="gramStart"/>
      <w:r w:rsidR="00857656" w:rsidRPr="00192605">
        <w:rPr>
          <w:rFonts w:asciiTheme="minorHAnsi" w:hAnsiTheme="minorHAnsi"/>
          <w:i/>
          <w:color w:val="auto"/>
          <w:sz w:val="22"/>
          <w:szCs w:val="22"/>
        </w:rPr>
        <w:t>:  La</w:t>
      </w:r>
      <w:proofErr w:type="gramEnd"/>
      <w:r w:rsidR="00857656" w:rsidRPr="00192605">
        <w:rPr>
          <w:rFonts w:asciiTheme="minorHAnsi" w:hAnsiTheme="minorHAnsi"/>
          <w:i/>
          <w:color w:val="auto"/>
          <w:sz w:val="22"/>
          <w:szCs w:val="22"/>
        </w:rPr>
        <w:t xml:space="preserve"> Société d’inclusion économique et sociale du Nouveau Brunswick</w:t>
      </w:r>
      <w:r w:rsidR="00857656" w:rsidRPr="00192605">
        <w:rPr>
          <w:rFonts w:asciiTheme="minorHAnsi" w:hAnsiTheme="minorHAnsi"/>
          <w:color w:val="auto"/>
          <w:sz w:val="22"/>
          <w:szCs w:val="22"/>
        </w:rPr>
        <w:t xml:space="preserve"> </w:t>
      </w:r>
      <w:r w:rsidRPr="00192605">
        <w:rPr>
          <w:rFonts w:asciiTheme="minorHAnsi" w:hAnsiTheme="minorHAnsi"/>
          <w:color w:val="auto"/>
          <w:sz w:val="22"/>
          <w:szCs w:val="22"/>
        </w:rPr>
        <w:t>(2011</w:t>
      </w:r>
      <w:r w:rsidRPr="00192605">
        <w:rPr>
          <w:rFonts w:asciiTheme="minorHAnsi" w:hAnsiTheme="minorHAnsi"/>
          <w:i/>
          <w:color w:val="auto"/>
          <w:sz w:val="22"/>
          <w:szCs w:val="22"/>
        </w:rPr>
        <w:t xml:space="preserve">). </w:t>
      </w:r>
      <w:r w:rsidR="00192605" w:rsidRPr="00192605">
        <w:rPr>
          <w:rFonts w:asciiTheme="minorHAnsi" w:hAnsiTheme="minorHAnsi"/>
          <w:i/>
          <w:color w:val="auto"/>
          <w:sz w:val="22"/>
          <w:szCs w:val="22"/>
        </w:rPr>
        <w:t>Rapport de progrès</w:t>
      </w:r>
      <w:r w:rsidR="00857656" w:rsidRPr="00192605">
        <w:rPr>
          <w:rFonts w:asciiTheme="minorHAnsi" w:hAnsiTheme="minorHAnsi"/>
          <w:i/>
          <w:color w:val="auto"/>
          <w:sz w:val="22"/>
          <w:szCs w:val="22"/>
        </w:rPr>
        <w:t xml:space="preserve"> du Plan d’inclusion économique et sociale du Nouveau Brunswick (en anglais).</w:t>
      </w:r>
      <w:r w:rsidR="00857656" w:rsidRPr="00192605">
        <w:rPr>
          <w:rFonts w:asciiTheme="minorHAnsi" w:hAnsiTheme="minorHAnsi"/>
          <w:color w:val="auto"/>
          <w:sz w:val="22"/>
          <w:szCs w:val="22"/>
        </w:rPr>
        <w:t xml:space="preserve"> </w:t>
      </w:r>
      <w:r w:rsidRPr="00192605">
        <w:rPr>
          <w:rFonts w:asciiTheme="minorHAnsi" w:hAnsiTheme="minorHAnsi"/>
          <w:i/>
          <w:iCs/>
          <w:color w:val="auto"/>
          <w:sz w:val="22"/>
          <w:szCs w:val="22"/>
        </w:rPr>
        <w:t>Septemb</w:t>
      </w:r>
      <w:r w:rsidR="00857656" w:rsidRPr="00192605">
        <w:rPr>
          <w:rFonts w:asciiTheme="minorHAnsi" w:hAnsiTheme="minorHAnsi"/>
          <w:i/>
          <w:iCs/>
          <w:color w:val="auto"/>
          <w:sz w:val="22"/>
          <w:szCs w:val="22"/>
        </w:rPr>
        <w:t>re</w:t>
      </w:r>
      <w:r w:rsidRPr="00192605">
        <w:rPr>
          <w:rFonts w:asciiTheme="minorHAnsi" w:hAnsiTheme="minorHAnsi"/>
          <w:i/>
          <w:iCs/>
          <w:color w:val="auto"/>
          <w:sz w:val="22"/>
          <w:szCs w:val="22"/>
        </w:rPr>
        <w:t xml:space="preserve"> 2010 – March 2011</w:t>
      </w:r>
      <w:r w:rsidRPr="00192605">
        <w:rPr>
          <w:rFonts w:asciiTheme="minorHAnsi" w:hAnsiTheme="minorHAnsi"/>
          <w:color w:val="auto"/>
          <w:sz w:val="22"/>
          <w:szCs w:val="22"/>
        </w:rPr>
        <w:t xml:space="preserve">. </w:t>
      </w:r>
      <w:hyperlink r:id="rId22" w:history="1">
        <w:r w:rsidR="00192605" w:rsidRPr="00192605">
          <w:rPr>
            <w:rStyle w:val="Hyperlink"/>
            <w:rFonts w:asciiTheme="minorHAnsi" w:hAnsiTheme="minorHAnsi"/>
            <w:sz w:val="22"/>
            <w:szCs w:val="22"/>
          </w:rPr>
          <w:t>http://www2.gnb.ca/content/dam/gnb/Departments/esic/pdf/RapportAnnuel2010-2011.pdf</w:t>
        </w:r>
      </w:hyperlink>
    </w:p>
    <w:p w:rsidR="00192605" w:rsidRPr="00192605" w:rsidRDefault="00192605" w:rsidP="00857656">
      <w:pPr>
        <w:pStyle w:val="Default"/>
        <w:ind w:left="2124"/>
        <w:rPr>
          <w:rFonts w:asciiTheme="minorHAnsi" w:hAnsiTheme="minorHAnsi"/>
          <w:color w:val="auto"/>
          <w:sz w:val="22"/>
          <w:szCs w:val="22"/>
        </w:rPr>
      </w:pPr>
    </w:p>
    <w:p w:rsidR="00434093" w:rsidRPr="00192605" w:rsidRDefault="00434093" w:rsidP="0039725E">
      <w:pPr>
        <w:pStyle w:val="Default"/>
        <w:rPr>
          <w:rFonts w:asciiTheme="minorHAnsi" w:hAnsiTheme="minorHAnsi"/>
          <w:color w:val="auto"/>
          <w:sz w:val="22"/>
          <w:szCs w:val="22"/>
        </w:rPr>
      </w:pPr>
    </w:p>
    <w:p w:rsidR="00434093" w:rsidRPr="00192605" w:rsidRDefault="00434093" w:rsidP="00434093">
      <w:pPr>
        <w:pStyle w:val="NoSpacing"/>
        <w:ind w:left="2124"/>
        <w:rPr>
          <w:rStyle w:val="Hyperlink"/>
        </w:rPr>
      </w:pPr>
      <w:r w:rsidRPr="00192605">
        <w:t xml:space="preserve">NB04 – Ministère de la Santé du Nouveau Brunswick (2011) – </w:t>
      </w:r>
      <w:r w:rsidRPr="00192605">
        <w:rPr>
          <w:i/>
        </w:rPr>
        <w:t>Plan d’action pour la santé mentale au Nouveau Brunswick</w:t>
      </w:r>
      <w:r w:rsidRPr="00192605">
        <w:t xml:space="preserve">, 2011-2018. </w:t>
      </w:r>
      <w:hyperlink r:id="rId23" w:history="1">
        <w:r w:rsidRPr="00192605">
          <w:rPr>
            <w:rStyle w:val="Hyperlink"/>
          </w:rPr>
          <w:t>https://www.gnb.ca/0055/pdf/2011/7379%20french.pdf</w:t>
        </w:r>
      </w:hyperlink>
    </w:p>
    <w:p w:rsidR="00434093" w:rsidRPr="00192605" w:rsidRDefault="00434093" w:rsidP="00434093">
      <w:pPr>
        <w:pStyle w:val="NoSpacing"/>
        <w:ind w:left="2124"/>
        <w:rPr>
          <w:rStyle w:val="Hyperlink"/>
        </w:rPr>
      </w:pPr>
    </w:p>
    <w:p w:rsidR="00434093" w:rsidRPr="00192605" w:rsidRDefault="00434093" w:rsidP="00434093">
      <w:pPr>
        <w:pStyle w:val="NoSpacing"/>
        <w:ind w:left="2124"/>
      </w:pPr>
      <w:r w:rsidRPr="00192605">
        <w:t xml:space="preserve">NB05 – Société d’habitation du Nouveau Brunswick/Ministère du Développement social (2010)- </w:t>
      </w:r>
      <w:r w:rsidRPr="00192605">
        <w:rPr>
          <w:i/>
        </w:rPr>
        <w:t xml:space="preserve">L’espoir est un foyer.  Nouvelle stratégie d’habitation du Nouveau Brunswick </w:t>
      </w:r>
      <w:r w:rsidRPr="00192605">
        <w:t xml:space="preserve">-  </w:t>
      </w:r>
      <w:hyperlink r:id="rId24" w:history="1">
        <w:r w:rsidRPr="00192605">
          <w:rPr>
            <w:rStyle w:val="Hyperlink"/>
          </w:rPr>
          <w:t>http://www2.gnb.ca/content/dam/gnb/Departments/sd-ds/pdf/Housing/housingstrategy-f.pdf</w:t>
        </w:r>
      </w:hyperlink>
    </w:p>
    <w:p w:rsidR="00434093" w:rsidRPr="00192605" w:rsidRDefault="00434093" w:rsidP="00434093">
      <w:pPr>
        <w:ind w:left="2124"/>
      </w:pPr>
    </w:p>
    <w:p w:rsidR="00434093" w:rsidRPr="00192605" w:rsidRDefault="00434093" w:rsidP="0039725E">
      <w:pPr>
        <w:pStyle w:val="Default"/>
        <w:rPr>
          <w:rFonts w:asciiTheme="minorHAnsi" w:hAnsiTheme="minorHAnsi"/>
          <w:color w:val="auto"/>
          <w:sz w:val="22"/>
          <w:szCs w:val="22"/>
        </w:rPr>
      </w:pPr>
    </w:p>
    <w:p w:rsidR="00857656" w:rsidRPr="00192605" w:rsidRDefault="0039725E" w:rsidP="00C15DE7">
      <w:pPr>
        <w:pStyle w:val="Default"/>
        <w:ind w:left="2124"/>
        <w:rPr>
          <w:rFonts w:asciiTheme="minorHAnsi" w:hAnsiTheme="minorHAnsi"/>
          <w:color w:val="auto"/>
          <w:sz w:val="22"/>
          <w:szCs w:val="22"/>
        </w:rPr>
      </w:pPr>
      <w:r w:rsidRPr="00192605">
        <w:rPr>
          <w:rFonts w:asciiTheme="minorHAnsi" w:hAnsiTheme="minorHAnsi"/>
          <w:color w:val="auto"/>
          <w:sz w:val="22"/>
          <w:szCs w:val="22"/>
        </w:rPr>
        <w:t xml:space="preserve">NB06 – </w:t>
      </w:r>
      <w:r w:rsidR="00857656" w:rsidRPr="00192605">
        <w:rPr>
          <w:rFonts w:asciiTheme="minorHAnsi" w:hAnsiTheme="minorHAnsi"/>
          <w:color w:val="auto"/>
          <w:sz w:val="22"/>
          <w:szCs w:val="22"/>
        </w:rPr>
        <w:t>Entente Canada-Nouveau Brunswi</w:t>
      </w:r>
      <w:r w:rsidRPr="00192605">
        <w:rPr>
          <w:rFonts w:asciiTheme="minorHAnsi" w:hAnsiTheme="minorHAnsi"/>
          <w:color w:val="auto"/>
          <w:sz w:val="22"/>
          <w:szCs w:val="22"/>
        </w:rPr>
        <w:t xml:space="preserve">ck </w:t>
      </w:r>
      <w:r w:rsidR="00857656" w:rsidRPr="00192605">
        <w:rPr>
          <w:rFonts w:asciiTheme="minorHAnsi" w:hAnsiTheme="minorHAnsi"/>
          <w:color w:val="auto"/>
          <w:sz w:val="22"/>
          <w:szCs w:val="22"/>
        </w:rPr>
        <w:t xml:space="preserve">sur le marché du travail visant les personnes handicapées – </w:t>
      </w:r>
      <w:r w:rsidR="00857656" w:rsidRPr="00192605">
        <w:rPr>
          <w:rFonts w:asciiTheme="minorHAnsi" w:hAnsiTheme="minorHAnsi"/>
          <w:i/>
          <w:color w:val="auto"/>
          <w:sz w:val="22"/>
          <w:szCs w:val="22"/>
        </w:rPr>
        <w:t xml:space="preserve">Rapport annuel </w:t>
      </w:r>
      <w:r w:rsidRPr="00192605">
        <w:rPr>
          <w:rFonts w:asciiTheme="minorHAnsi" w:hAnsiTheme="minorHAnsi"/>
          <w:i/>
          <w:color w:val="auto"/>
          <w:sz w:val="22"/>
          <w:szCs w:val="22"/>
        </w:rPr>
        <w:t>2009-2010</w:t>
      </w:r>
      <w:r w:rsidRPr="00192605">
        <w:rPr>
          <w:rFonts w:asciiTheme="minorHAnsi" w:hAnsiTheme="minorHAnsi"/>
          <w:color w:val="auto"/>
          <w:sz w:val="22"/>
          <w:szCs w:val="22"/>
        </w:rPr>
        <w:t>.</w:t>
      </w:r>
      <w:r w:rsidR="00C15DE7" w:rsidRPr="00192605">
        <w:rPr>
          <w:rFonts w:asciiTheme="minorHAnsi" w:hAnsiTheme="minorHAnsi"/>
          <w:color w:val="auto"/>
          <w:sz w:val="22"/>
          <w:szCs w:val="22"/>
        </w:rPr>
        <w:t xml:space="preserve"> </w:t>
      </w:r>
      <w:hyperlink r:id="rId25" w:history="1">
        <w:r w:rsidR="00C15DE7" w:rsidRPr="00192605">
          <w:rPr>
            <w:rStyle w:val="Hyperlink"/>
            <w:rFonts w:asciiTheme="minorHAnsi" w:hAnsiTheme="minorHAnsi"/>
            <w:sz w:val="22"/>
            <w:szCs w:val="22"/>
          </w:rPr>
          <w:t>http://www2.gnb.ca/content/dam/gnb/Departments/sd-ds/pdf/</w:t>
        </w:r>
      </w:hyperlink>
    </w:p>
    <w:p w:rsidR="00857656" w:rsidRPr="00192605" w:rsidRDefault="00857656" w:rsidP="0039725E">
      <w:pPr>
        <w:pStyle w:val="Default"/>
        <w:rPr>
          <w:rFonts w:asciiTheme="minorHAnsi" w:hAnsiTheme="minorHAnsi"/>
          <w:color w:val="auto"/>
          <w:sz w:val="22"/>
          <w:szCs w:val="22"/>
        </w:rPr>
      </w:pPr>
    </w:p>
    <w:p w:rsidR="00C15DE7" w:rsidRPr="00192605" w:rsidRDefault="0039725E" w:rsidP="00C15DE7">
      <w:pPr>
        <w:pStyle w:val="Default"/>
        <w:ind w:left="2124"/>
        <w:rPr>
          <w:rFonts w:asciiTheme="minorHAnsi" w:hAnsiTheme="minorHAnsi"/>
          <w:color w:val="auto"/>
          <w:sz w:val="22"/>
          <w:szCs w:val="22"/>
        </w:rPr>
      </w:pPr>
      <w:r w:rsidRPr="00192605">
        <w:rPr>
          <w:rFonts w:asciiTheme="minorHAnsi" w:hAnsiTheme="minorHAnsi"/>
          <w:color w:val="auto"/>
          <w:sz w:val="22"/>
          <w:szCs w:val="22"/>
        </w:rPr>
        <w:t xml:space="preserve">NB07 – </w:t>
      </w:r>
      <w:r w:rsidR="00C15DE7" w:rsidRPr="00192605">
        <w:rPr>
          <w:rFonts w:asciiTheme="minorHAnsi" w:hAnsiTheme="minorHAnsi"/>
          <w:color w:val="auto"/>
          <w:sz w:val="22"/>
          <w:szCs w:val="22"/>
        </w:rPr>
        <w:t>Gouvernement provincial du Nouveau Bruns</w:t>
      </w:r>
      <w:r w:rsidRPr="00192605">
        <w:rPr>
          <w:rFonts w:asciiTheme="minorHAnsi" w:hAnsiTheme="minorHAnsi"/>
          <w:color w:val="auto"/>
          <w:sz w:val="22"/>
          <w:szCs w:val="22"/>
        </w:rPr>
        <w:t>wick (2009</w:t>
      </w:r>
      <w:r w:rsidRPr="00192605">
        <w:rPr>
          <w:rFonts w:asciiTheme="minorHAnsi" w:hAnsiTheme="minorHAnsi"/>
          <w:i/>
          <w:color w:val="auto"/>
          <w:sz w:val="22"/>
          <w:szCs w:val="22"/>
        </w:rPr>
        <w:t xml:space="preserve">). </w:t>
      </w:r>
      <w:r w:rsidR="00C15DE7" w:rsidRPr="00192605">
        <w:rPr>
          <w:rFonts w:asciiTheme="minorHAnsi" w:hAnsiTheme="minorHAnsi"/>
          <w:i/>
          <w:color w:val="auto"/>
          <w:sz w:val="22"/>
          <w:szCs w:val="22"/>
        </w:rPr>
        <w:t xml:space="preserve">Un </w:t>
      </w:r>
      <w:proofErr w:type="spellStart"/>
      <w:r w:rsidR="00C15DE7" w:rsidRPr="00192605">
        <w:rPr>
          <w:rFonts w:asciiTheme="minorHAnsi" w:hAnsiTheme="minorHAnsi"/>
          <w:i/>
          <w:color w:val="auto"/>
          <w:sz w:val="22"/>
          <w:szCs w:val="22"/>
        </w:rPr>
        <w:t>choeur</w:t>
      </w:r>
      <w:proofErr w:type="spellEnd"/>
      <w:r w:rsidR="00C15DE7" w:rsidRPr="00192605">
        <w:rPr>
          <w:rFonts w:asciiTheme="minorHAnsi" w:hAnsiTheme="minorHAnsi"/>
          <w:i/>
          <w:color w:val="auto"/>
          <w:sz w:val="22"/>
          <w:szCs w:val="22"/>
        </w:rPr>
        <w:t xml:space="preserve"> de voix</w:t>
      </w:r>
      <w:proofErr w:type="gramStart"/>
      <w:r w:rsidR="00C15DE7" w:rsidRPr="00192605">
        <w:rPr>
          <w:rFonts w:asciiTheme="minorHAnsi" w:hAnsiTheme="minorHAnsi"/>
          <w:i/>
          <w:color w:val="auto"/>
          <w:sz w:val="22"/>
          <w:szCs w:val="22"/>
        </w:rPr>
        <w:t>:  Un</w:t>
      </w:r>
      <w:proofErr w:type="gramEnd"/>
      <w:r w:rsidR="00C15DE7" w:rsidRPr="00192605">
        <w:rPr>
          <w:rFonts w:asciiTheme="minorHAnsi" w:hAnsiTheme="minorHAnsi"/>
          <w:i/>
          <w:color w:val="auto"/>
          <w:sz w:val="22"/>
          <w:szCs w:val="22"/>
        </w:rPr>
        <w:t xml:space="preserve"> rapport sur ce qui s’est dit – Un dialogue sur la pauvreté </w:t>
      </w:r>
      <w:hyperlink r:id="rId26" w:history="1">
        <w:r w:rsidR="00C15DE7" w:rsidRPr="00192605">
          <w:rPr>
            <w:rStyle w:val="Hyperlink"/>
            <w:rFonts w:asciiTheme="minorHAnsi" w:hAnsiTheme="minorHAnsi"/>
            <w:sz w:val="22"/>
            <w:szCs w:val="22"/>
          </w:rPr>
          <w:t>http://www2.gnb.ca/content/dam/gnb/Departments/esic/pdf/</w:t>
        </w:r>
      </w:hyperlink>
    </w:p>
    <w:p w:rsidR="00C15DE7" w:rsidRPr="00192605" w:rsidRDefault="00C15DE7" w:rsidP="0039725E">
      <w:pPr>
        <w:pStyle w:val="Default"/>
        <w:rPr>
          <w:rFonts w:asciiTheme="minorHAnsi" w:hAnsiTheme="minorHAnsi"/>
          <w:color w:val="auto"/>
          <w:sz w:val="22"/>
          <w:szCs w:val="22"/>
        </w:rPr>
      </w:pPr>
    </w:p>
    <w:p w:rsidR="0039725E" w:rsidRPr="00192605" w:rsidRDefault="0039725E" w:rsidP="00C15DE7">
      <w:pPr>
        <w:pStyle w:val="Default"/>
        <w:ind w:left="2124"/>
        <w:rPr>
          <w:rFonts w:asciiTheme="minorHAnsi" w:hAnsiTheme="minorHAnsi"/>
          <w:color w:val="auto"/>
          <w:sz w:val="22"/>
          <w:szCs w:val="22"/>
          <w:lang w:val="en-CA"/>
        </w:rPr>
      </w:pPr>
      <w:proofErr w:type="gramStart"/>
      <w:r w:rsidRPr="00192605">
        <w:rPr>
          <w:rFonts w:asciiTheme="minorHAnsi" w:hAnsiTheme="minorHAnsi"/>
          <w:color w:val="auto"/>
          <w:sz w:val="22"/>
          <w:szCs w:val="22"/>
          <w:lang w:val="en-CA"/>
        </w:rPr>
        <w:t>NB08 – Basque, Jean-Claude (2010).</w:t>
      </w:r>
      <w:proofErr w:type="gramEnd"/>
      <w:r w:rsidRPr="00192605">
        <w:rPr>
          <w:rFonts w:asciiTheme="minorHAnsi" w:hAnsiTheme="minorHAnsi"/>
          <w:color w:val="auto"/>
          <w:sz w:val="22"/>
          <w:szCs w:val="22"/>
          <w:lang w:val="en-CA"/>
        </w:rPr>
        <w:t xml:space="preserve"> </w:t>
      </w:r>
      <w:proofErr w:type="gramStart"/>
      <w:r w:rsidRPr="00192605">
        <w:rPr>
          <w:rFonts w:asciiTheme="minorHAnsi" w:hAnsiTheme="minorHAnsi"/>
          <w:i/>
          <w:iCs/>
          <w:color w:val="auto"/>
          <w:sz w:val="22"/>
          <w:szCs w:val="22"/>
          <w:lang w:val="en-CA"/>
        </w:rPr>
        <w:t>Community Inclusion Networks?</w:t>
      </w:r>
      <w:proofErr w:type="gramEnd"/>
      <w:r w:rsidRPr="00192605">
        <w:rPr>
          <w:rFonts w:asciiTheme="minorHAnsi" w:hAnsiTheme="minorHAnsi"/>
          <w:i/>
          <w:iCs/>
          <w:color w:val="auto"/>
          <w:sz w:val="22"/>
          <w:szCs w:val="22"/>
          <w:lang w:val="en-CA"/>
        </w:rPr>
        <w:t xml:space="preserve"> Thanks </w:t>
      </w:r>
      <w:proofErr w:type="gramStart"/>
      <w:r w:rsidRPr="00192605">
        <w:rPr>
          <w:rFonts w:asciiTheme="minorHAnsi" w:hAnsiTheme="minorHAnsi"/>
          <w:i/>
          <w:iCs/>
          <w:color w:val="auto"/>
          <w:sz w:val="22"/>
          <w:szCs w:val="22"/>
          <w:lang w:val="en-CA"/>
        </w:rPr>
        <w:t>But</w:t>
      </w:r>
      <w:proofErr w:type="gramEnd"/>
      <w:r w:rsidRPr="00192605">
        <w:rPr>
          <w:rFonts w:asciiTheme="minorHAnsi" w:hAnsiTheme="minorHAnsi"/>
          <w:i/>
          <w:iCs/>
          <w:color w:val="auto"/>
          <w:sz w:val="22"/>
          <w:szCs w:val="22"/>
          <w:lang w:val="en-CA"/>
        </w:rPr>
        <w:t xml:space="preserve"> No Thanks. </w:t>
      </w:r>
      <w:proofErr w:type="gramStart"/>
      <w:r w:rsidRPr="00192605">
        <w:rPr>
          <w:rFonts w:asciiTheme="minorHAnsi" w:hAnsiTheme="minorHAnsi"/>
          <w:color w:val="auto"/>
          <w:sz w:val="22"/>
          <w:szCs w:val="22"/>
          <w:lang w:val="en-CA"/>
        </w:rPr>
        <w:t>New Brunswick Telegraph-Journal.</w:t>
      </w:r>
      <w:proofErr w:type="gramEnd"/>
      <w:r w:rsidRPr="00192605">
        <w:rPr>
          <w:rFonts w:asciiTheme="minorHAnsi" w:hAnsiTheme="minorHAnsi"/>
          <w:color w:val="auto"/>
          <w:sz w:val="22"/>
          <w:szCs w:val="22"/>
          <w:lang w:val="en-CA"/>
        </w:rPr>
        <w:t xml:space="preserve"> http://telegraphjournal.canadaeast.com/opinion/article/972607 </w:t>
      </w:r>
    </w:p>
    <w:p w:rsidR="00C15DE7" w:rsidRPr="00192605" w:rsidRDefault="00C15DE7" w:rsidP="0039725E">
      <w:pPr>
        <w:pStyle w:val="Default"/>
        <w:rPr>
          <w:rFonts w:asciiTheme="minorHAnsi" w:hAnsiTheme="minorHAnsi"/>
          <w:b/>
          <w:bCs/>
          <w:color w:val="auto"/>
          <w:sz w:val="22"/>
          <w:szCs w:val="22"/>
          <w:lang w:val="en-CA"/>
        </w:rPr>
      </w:pPr>
    </w:p>
    <w:p w:rsidR="00C15DE7" w:rsidRPr="00192605" w:rsidRDefault="00C15DE7" w:rsidP="0039725E">
      <w:pPr>
        <w:pStyle w:val="Default"/>
        <w:rPr>
          <w:rFonts w:asciiTheme="minorHAnsi" w:hAnsiTheme="minorHAnsi"/>
          <w:b/>
          <w:bCs/>
          <w:color w:val="auto"/>
          <w:sz w:val="22"/>
          <w:szCs w:val="22"/>
          <w:lang w:val="en-CA"/>
        </w:rPr>
      </w:pPr>
    </w:p>
    <w:p w:rsidR="0080289E" w:rsidRDefault="0080289E" w:rsidP="00C15DE7">
      <w:pPr>
        <w:pStyle w:val="Default"/>
        <w:ind w:left="1416" w:firstLine="708"/>
        <w:rPr>
          <w:rFonts w:asciiTheme="minorHAnsi" w:hAnsiTheme="minorHAnsi"/>
          <w:b/>
          <w:bCs/>
          <w:color w:val="auto"/>
          <w:sz w:val="22"/>
          <w:szCs w:val="22"/>
          <w:lang w:val="en-CA"/>
        </w:rPr>
      </w:pPr>
    </w:p>
    <w:p w:rsidR="0080289E" w:rsidRDefault="0080289E" w:rsidP="00C15DE7">
      <w:pPr>
        <w:pStyle w:val="Default"/>
        <w:ind w:left="1416" w:firstLine="708"/>
        <w:rPr>
          <w:rFonts w:asciiTheme="minorHAnsi" w:hAnsiTheme="minorHAnsi"/>
          <w:b/>
          <w:bCs/>
          <w:color w:val="auto"/>
          <w:sz w:val="22"/>
          <w:szCs w:val="22"/>
          <w:lang w:val="en-CA"/>
        </w:rPr>
      </w:pPr>
    </w:p>
    <w:p w:rsidR="0039725E" w:rsidRPr="00192605" w:rsidRDefault="0080289E" w:rsidP="00C15DE7">
      <w:pPr>
        <w:pStyle w:val="Default"/>
        <w:ind w:left="1416" w:firstLine="708"/>
        <w:rPr>
          <w:rFonts w:asciiTheme="minorHAnsi" w:hAnsiTheme="minorHAnsi"/>
          <w:color w:val="auto"/>
          <w:sz w:val="22"/>
          <w:szCs w:val="22"/>
          <w:lang w:val="en-CA"/>
        </w:rPr>
      </w:pPr>
      <w:r>
        <w:rPr>
          <w:rFonts w:asciiTheme="minorHAnsi" w:hAnsiTheme="minorHAnsi"/>
          <w:b/>
          <w:bCs/>
          <w:color w:val="auto"/>
          <w:sz w:val="22"/>
          <w:szCs w:val="22"/>
          <w:lang w:val="en-CA"/>
        </w:rPr>
        <w:t>TERRE-NEUVE ET LABRADOR</w:t>
      </w:r>
      <w:bookmarkStart w:id="0" w:name="_GoBack"/>
      <w:bookmarkEnd w:id="0"/>
      <w:r w:rsidR="0039725E" w:rsidRPr="00192605">
        <w:rPr>
          <w:rFonts w:asciiTheme="minorHAnsi" w:hAnsiTheme="minorHAnsi"/>
          <w:b/>
          <w:bCs/>
          <w:color w:val="auto"/>
          <w:sz w:val="22"/>
          <w:szCs w:val="22"/>
          <w:lang w:val="en-CA"/>
        </w:rPr>
        <w:t xml:space="preserve"> </w:t>
      </w:r>
    </w:p>
    <w:p w:rsidR="00C15DE7" w:rsidRPr="00192605" w:rsidRDefault="00C15DE7" w:rsidP="0039725E">
      <w:pPr>
        <w:pStyle w:val="Default"/>
        <w:rPr>
          <w:rFonts w:asciiTheme="minorHAnsi" w:hAnsiTheme="minorHAnsi"/>
          <w:color w:val="auto"/>
          <w:sz w:val="22"/>
          <w:szCs w:val="22"/>
          <w:lang w:val="en-CA"/>
        </w:rPr>
      </w:pPr>
    </w:p>
    <w:p w:rsidR="0039725E" w:rsidRPr="00192605" w:rsidRDefault="0039725E" w:rsidP="00C15DE7">
      <w:pPr>
        <w:pStyle w:val="Default"/>
        <w:ind w:left="2124"/>
        <w:rPr>
          <w:rFonts w:asciiTheme="minorHAnsi" w:hAnsiTheme="minorHAnsi"/>
          <w:color w:val="auto"/>
          <w:sz w:val="22"/>
          <w:szCs w:val="22"/>
        </w:rPr>
      </w:pPr>
      <w:r w:rsidRPr="00192605">
        <w:rPr>
          <w:rFonts w:asciiTheme="minorHAnsi" w:hAnsiTheme="minorHAnsi"/>
          <w:color w:val="auto"/>
          <w:sz w:val="22"/>
          <w:szCs w:val="22"/>
          <w:lang w:val="en-CA"/>
        </w:rPr>
        <w:t xml:space="preserve">NL01 – Newfoundland Provincial Department of Human Resources, Labour and Employment, Poverty Reduction Strategy. (2009) </w:t>
      </w:r>
      <w:r w:rsidRPr="00192605">
        <w:rPr>
          <w:rFonts w:asciiTheme="minorHAnsi" w:hAnsiTheme="minorHAnsi"/>
          <w:i/>
          <w:iCs/>
          <w:color w:val="auto"/>
          <w:sz w:val="22"/>
          <w:szCs w:val="22"/>
          <w:lang w:val="en-CA"/>
        </w:rPr>
        <w:t xml:space="preserve">Empowering People Engaging Community Enabling Success: First progress report. </w:t>
      </w:r>
      <w:r w:rsidRPr="00192605">
        <w:rPr>
          <w:rFonts w:asciiTheme="minorHAnsi" w:hAnsiTheme="minorHAnsi"/>
          <w:color w:val="auto"/>
          <w:sz w:val="22"/>
          <w:szCs w:val="22"/>
          <w:lang w:val="en-CA"/>
        </w:rPr>
        <w:t xml:space="preserve">(ISBN: 978-1-55146-373-5). </w:t>
      </w:r>
      <w:hyperlink r:id="rId27" w:history="1">
        <w:r w:rsidR="00C15DE7" w:rsidRPr="00192605">
          <w:rPr>
            <w:rStyle w:val="Hyperlink"/>
            <w:rFonts w:asciiTheme="minorHAnsi" w:hAnsiTheme="minorHAnsi"/>
            <w:sz w:val="22"/>
            <w:szCs w:val="22"/>
          </w:rPr>
          <w:t>http://www.hrle.gov.nl.ca/hrle/publications/poverty/PRSProgessReport.pdf</w:t>
        </w:r>
      </w:hyperlink>
      <w:r w:rsidRPr="00192605">
        <w:rPr>
          <w:rFonts w:asciiTheme="minorHAnsi" w:hAnsiTheme="minorHAnsi"/>
          <w:color w:val="auto"/>
          <w:sz w:val="22"/>
          <w:szCs w:val="22"/>
        </w:rPr>
        <w:t xml:space="preserve"> </w:t>
      </w:r>
    </w:p>
    <w:p w:rsidR="00C15DE7" w:rsidRPr="00192605" w:rsidRDefault="00C15DE7" w:rsidP="00C15DE7">
      <w:pPr>
        <w:pStyle w:val="Default"/>
        <w:ind w:left="2124"/>
        <w:rPr>
          <w:rFonts w:asciiTheme="minorHAnsi" w:hAnsiTheme="minorHAnsi"/>
          <w:color w:val="auto"/>
          <w:sz w:val="22"/>
          <w:szCs w:val="22"/>
        </w:rPr>
      </w:pPr>
    </w:p>
    <w:p w:rsidR="0039725E" w:rsidRPr="00192605" w:rsidRDefault="0039725E" w:rsidP="00C15DE7">
      <w:pPr>
        <w:pStyle w:val="Default"/>
        <w:ind w:left="2124"/>
        <w:rPr>
          <w:rFonts w:asciiTheme="minorHAnsi" w:hAnsiTheme="minorHAnsi"/>
          <w:color w:val="auto"/>
          <w:sz w:val="22"/>
          <w:szCs w:val="22"/>
          <w:lang w:val="en-CA"/>
        </w:rPr>
      </w:pPr>
      <w:r w:rsidRPr="00192605">
        <w:rPr>
          <w:rFonts w:asciiTheme="minorHAnsi" w:hAnsiTheme="minorHAnsi"/>
          <w:color w:val="auto"/>
          <w:sz w:val="22"/>
          <w:szCs w:val="22"/>
          <w:lang w:val="en-CA"/>
        </w:rPr>
        <w:t xml:space="preserve">NL02 – Newfoundland Provincial Department of Human Resources, Labour and Employment (2005). </w:t>
      </w:r>
      <w:proofErr w:type="gramStart"/>
      <w:r w:rsidRPr="00192605">
        <w:rPr>
          <w:rFonts w:asciiTheme="minorHAnsi" w:hAnsiTheme="minorHAnsi"/>
          <w:i/>
          <w:iCs/>
          <w:color w:val="auto"/>
          <w:sz w:val="22"/>
          <w:szCs w:val="22"/>
          <w:lang w:val="en-CA"/>
        </w:rPr>
        <w:t>Reducing Poverty in Newfoundland and Labrador: Working Towards a Solution, Background Report and Workbook</w:t>
      </w:r>
      <w:r w:rsidRPr="00192605">
        <w:rPr>
          <w:rFonts w:asciiTheme="minorHAnsi" w:hAnsiTheme="minorHAnsi"/>
          <w:color w:val="auto"/>
          <w:sz w:val="22"/>
          <w:szCs w:val="22"/>
          <w:lang w:val="en-CA"/>
        </w:rPr>
        <w:t>.</w:t>
      </w:r>
      <w:proofErr w:type="gramEnd"/>
      <w:r w:rsidRPr="00192605">
        <w:rPr>
          <w:rFonts w:asciiTheme="minorHAnsi" w:hAnsiTheme="minorHAnsi"/>
          <w:color w:val="auto"/>
          <w:sz w:val="22"/>
          <w:szCs w:val="22"/>
          <w:lang w:val="en-CA"/>
        </w:rPr>
        <w:t xml:space="preserve"> </w:t>
      </w:r>
      <w:hyperlink r:id="rId28" w:history="1">
        <w:r w:rsidR="00C15DE7" w:rsidRPr="00192605">
          <w:rPr>
            <w:rStyle w:val="Hyperlink"/>
            <w:rFonts w:asciiTheme="minorHAnsi" w:hAnsiTheme="minorHAnsi"/>
            <w:sz w:val="22"/>
            <w:szCs w:val="22"/>
            <w:lang w:val="en-CA"/>
          </w:rPr>
          <w:t>http://www.gov.nl.ca/publicat/povertydiscussion-final.pdf</w:t>
        </w:r>
      </w:hyperlink>
      <w:r w:rsidRPr="00192605">
        <w:rPr>
          <w:rFonts w:asciiTheme="minorHAnsi" w:hAnsiTheme="minorHAnsi"/>
          <w:color w:val="auto"/>
          <w:sz w:val="22"/>
          <w:szCs w:val="22"/>
          <w:lang w:val="en-CA"/>
        </w:rPr>
        <w:t xml:space="preserve"> </w:t>
      </w:r>
    </w:p>
    <w:p w:rsidR="00C15DE7" w:rsidRPr="00192605" w:rsidRDefault="00C15DE7" w:rsidP="00C15DE7">
      <w:pPr>
        <w:pStyle w:val="Default"/>
        <w:ind w:left="2124"/>
        <w:rPr>
          <w:rFonts w:asciiTheme="minorHAnsi" w:hAnsiTheme="minorHAnsi"/>
          <w:color w:val="auto"/>
          <w:sz w:val="22"/>
          <w:szCs w:val="22"/>
          <w:lang w:val="en-CA"/>
        </w:rPr>
      </w:pPr>
    </w:p>
    <w:p w:rsidR="0039725E" w:rsidRPr="00192605" w:rsidRDefault="0039725E" w:rsidP="00C15DE7">
      <w:pPr>
        <w:pStyle w:val="Default"/>
        <w:ind w:left="2124"/>
        <w:rPr>
          <w:rFonts w:asciiTheme="minorHAnsi" w:hAnsiTheme="minorHAnsi"/>
          <w:color w:val="auto"/>
          <w:sz w:val="22"/>
          <w:szCs w:val="22"/>
          <w:lang w:val="en-CA"/>
        </w:rPr>
      </w:pPr>
      <w:proofErr w:type="gramStart"/>
      <w:r w:rsidRPr="00192605">
        <w:rPr>
          <w:rFonts w:asciiTheme="minorHAnsi" w:hAnsiTheme="minorHAnsi"/>
          <w:color w:val="auto"/>
          <w:sz w:val="22"/>
          <w:szCs w:val="22"/>
          <w:lang w:val="en-CA"/>
        </w:rPr>
        <w:t>NL03 – Newfoundland and Labrador Provincial Advisory Council for the Inclusion of Persons with Disabilities Activity Plan Fiscal Year 2010/11.</w:t>
      </w:r>
      <w:proofErr w:type="gramEnd"/>
      <w:r w:rsidRPr="00192605">
        <w:rPr>
          <w:rFonts w:asciiTheme="minorHAnsi" w:hAnsiTheme="minorHAnsi"/>
          <w:color w:val="auto"/>
          <w:sz w:val="22"/>
          <w:szCs w:val="22"/>
          <w:lang w:val="en-CA"/>
        </w:rPr>
        <w:t xml:space="preserve"> </w:t>
      </w:r>
      <w:hyperlink r:id="rId29" w:history="1">
        <w:r w:rsidR="00C15DE7" w:rsidRPr="00192605">
          <w:rPr>
            <w:rStyle w:val="Hyperlink"/>
            <w:rFonts w:asciiTheme="minorHAnsi" w:hAnsiTheme="minorHAnsi"/>
            <w:sz w:val="22"/>
            <w:szCs w:val="22"/>
            <w:lang w:val="en-CA"/>
          </w:rPr>
          <w:t>http://www.hrle.gov.nl.ca/hrle/dpo/default.html</w:t>
        </w:r>
      </w:hyperlink>
      <w:r w:rsidRPr="00192605">
        <w:rPr>
          <w:rFonts w:asciiTheme="minorHAnsi" w:hAnsiTheme="minorHAnsi"/>
          <w:color w:val="auto"/>
          <w:sz w:val="22"/>
          <w:szCs w:val="22"/>
          <w:lang w:val="en-CA"/>
        </w:rPr>
        <w:t xml:space="preserve"> </w:t>
      </w:r>
    </w:p>
    <w:p w:rsidR="00C15DE7" w:rsidRPr="00192605" w:rsidRDefault="00C15DE7" w:rsidP="00C15DE7">
      <w:pPr>
        <w:pStyle w:val="Default"/>
        <w:ind w:left="2124"/>
        <w:rPr>
          <w:rFonts w:asciiTheme="minorHAnsi" w:hAnsiTheme="minorHAnsi"/>
          <w:color w:val="auto"/>
          <w:sz w:val="22"/>
          <w:szCs w:val="22"/>
          <w:lang w:val="en-CA"/>
        </w:rPr>
      </w:pPr>
    </w:p>
    <w:p w:rsidR="0039725E" w:rsidRPr="00192605" w:rsidRDefault="0039725E" w:rsidP="00C15DE7">
      <w:pPr>
        <w:pStyle w:val="Default"/>
        <w:ind w:left="2124"/>
        <w:rPr>
          <w:rFonts w:asciiTheme="minorHAnsi" w:hAnsiTheme="minorHAnsi"/>
          <w:color w:val="auto"/>
          <w:sz w:val="22"/>
          <w:szCs w:val="22"/>
        </w:rPr>
      </w:pPr>
      <w:proofErr w:type="gramStart"/>
      <w:r w:rsidRPr="00192605">
        <w:rPr>
          <w:rFonts w:asciiTheme="minorHAnsi" w:hAnsiTheme="minorHAnsi"/>
          <w:color w:val="auto"/>
          <w:sz w:val="22"/>
          <w:szCs w:val="22"/>
          <w:lang w:val="en-CA"/>
        </w:rPr>
        <w:t>NL04 – Newfoundland and Labrador Ministry of Human Resources, Labour and Employment (2010).</w:t>
      </w:r>
      <w:proofErr w:type="gramEnd"/>
      <w:r w:rsidRPr="00192605">
        <w:rPr>
          <w:rFonts w:asciiTheme="minorHAnsi" w:hAnsiTheme="minorHAnsi"/>
          <w:color w:val="auto"/>
          <w:sz w:val="22"/>
          <w:szCs w:val="22"/>
          <w:lang w:val="en-CA"/>
        </w:rPr>
        <w:t xml:space="preserve"> </w:t>
      </w:r>
      <w:proofErr w:type="gramStart"/>
      <w:r w:rsidRPr="00192605">
        <w:rPr>
          <w:rFonts w:asciiTheme="minorHAnsi" w:hAnsiTheme="minorHAnsi"/>
          <w:i/>
          <w:iCs/>
          <w:color w:val="auto"/>
          <w:sz w:val="22"/>
          <w:szCs w:val="22"/>
          <w:lang w:val="en-CA"/>
        </w:rPr>
        <w:t>Government of Newfoundland and Labrador Programs and Services for Individuals and Families</w:t>
      </w:r>
      <w:r w:rsidRPr="00192605">
        <w:rPr>
          <w:rFonts w:asciiTheme="minorHAnsi" w:hAnsiTheme="minorHAnsi"/>
          <w:color w:val="auto"/>
          <w:sz w:val="22"/>
          <w:szCs w:val="22"/>
          <w:lang w:val="en-CA"/>
        </w:rPr>
        <w:t>.</w:t>
      </w:r>
      <w:proofErr w:type="gramEnd"/>
      <w:r w:rsidRPr="00192605">
        <w:rPr>
          <w:rFonts w:asciiTheme="minorHAnsi" w:hAnsiTheme="minorHAnsi"/>
          <w:color w:val="auto"/>
          <w:sz w:val="22"/>
          <w:szCs w:val="22"/>
          <w:lang w:val="en-CA"/>
        </w:rPr>
        <w:t xml:space="preserve"> </w:t>
      </w:r>
      <w:hyperlink r:id="rId30" w:history="1">
        <w:r w:rsidR="00C15DE7" w:rsidRPr="00192605">
          <w:rPr>
            <w:rStyle w:val="Hyperlink"/>
            <w:rFonts w:asciiTheme="minorHAnsi" w:hAnsiTheme="minorHAnsi"/>
            <w:sz w:val="22"/>
            <w:szCs w:val="22"/>
          </w:rPr>
          <w:t>http://www.hrle.gov.nl.ca/hrle/poverty/guidebook/guide_to_gov_programs_and_services.pdf</w:t>
        </w:r>
      </w:hyperlink>
      <w:r w:rsidRPr="00192605">
        <w:rPr>
          <w:rFonts w:asciiTheme="minorHAnsi" w:hAnsiTheme="minorHAnsi"/>
          <w:color w:val="auto"/>
          <w:sz w:val="22"/>
          <w:szCs w:val="22"/>
        </w:rPr>
        <w:t xml:space="preserve"> </w:t>
      </w:r>
    </w:p>
    <w:p w:rsidR="00C15DE7" w:rsidRPr="00192605" w:rsidRDefault="00C15DE7" w:rsidP="00C15DE7">
      <w:pPr>
        <w:pStyle w:val="Default"/>
        <w:ind w:left="2124"/>
        <w:rPr>
          <w:rFonts w:asciiTheme="minorHAnsi" w:hAnsiTheme="minorHAnsi"/>
          <w:color w:val="auto"/>
          <w:sz w:val="22"/>
          <w:szCs w:val="22"/>
        </w:rPr>
      </w:pPr>
    </w:p>
    <w:p w:rsidR="0039725E" w:rsidRPr="00192605" w:rsidRDefault="0039725E" w:rsidP="00C15DE7">
      <w:pPr>
        <w:pStyle w:val="Default"/>
        <w:ind w:left="2124"/>
        <w:rPr>
          <w:rFonts w:asciiTheme="minorHAnsi" w:hAnsiTheme="minorHAnsi"/>
          <w:color w:val="auto"/>
          <w:sz w:val="22"/>
          <w:szCs w:val="22"/>
        </w:rPr>
      </w:pPr>
      <w:r w:rsidRPr="00192605">
        <w:rPr>
          <w:rFonts w:asciiTheme="minorHAnsi" w:hAnsiTheme="minorHAnsi"/>
          <w:color w:val="auto"/>
          <w:sz w:val="22"/>
          <w:szCs w:val="22"/>
          <w:lang w:val="en-CA"/>
        </w:rPr>
        <w:t xml:space="preserve">NL05 -- Newfoundland and Labrador Labour Market Agreement for People with Disabilities Annual Report 2009-2010. </w:t>
      </w:r>
      <w:hyperlink r:id="rId31" w:history="1">
        <w:r w:rsidR="00C15DE7" w:rsidRPr="00192605">
          <w:rPr>
            <w:rStyle w:val="Hyperlink"/>
            <w:rFonts w:asciiTheme="minorHAnsi" w:hAnsiTheme="minorHAnsi"/>
            <w:sz w:val="22"/>
            <w:szCs w:val="22"/>
          </w:rPr>
          <w:t>http://www.hrle.gov.nl.ca/hrle/publications/ceys/lmapd_</w:t>
        </w:r>
      </w:hyperlink>
      <w:r w:rsidRPr="00192605">
        <w:rPr>
          <w:rFonts w:asciiTheme="minorHAnsi" w:hAnsiTheme="minorHAnsi"/>
          <w:color w:val="auto"/>
          <w:sz w:val="22"/>
          <w:szCs w:val="22"/>
        </w:rPr>
        <w:t xml:space="preserve"> </w:t>
      </w:r>
    </w:p>
    <w:p w:rsidR="00C15DE7" w:rsidRPr="00192605" w:rsidRDefault="00C15DE7" w:rsidP="00C15DE7">
      <w:pPr>
        <w:pStyle w:val="Default"/>
        <w:ind w:left="2124"/>
        <w:rPr>
          <w:rFonts w:asciiTheme="minorHAnsi" w:hAnsiTheme="minorHAnsi"/>
          <w:color w:val="auto"/>
          <w:sz w:val="22"/>
          <w:szCs w:val="22"/>
        </w:rPr>
      </w:pPr>
    </w:p>
    <w:p w:rsidR="00C15DE7" w:rsidRPr="00192605" w:rsidRDefault="0039725E" w:rsidP="00C15DE7">
      <w:pPr>
        <w:pStyle w:val="Default"/>
        <w:ind w:left="2124"/>
        <w:rPr>
          <w:rFonts w:asciiTheme="minorHAnsi" w:hAnsiTheme="minorHAnsi"/>
          <w:color w:val="auto"/>
          <w:sz w:val="22"/>
          <w:szCs w:val="22"/>
          <w:lang w:val="en-CA"/>
        </w:rPr>
      </w:pPr>
      <w:proofErr w:type="gramStart"/>
      <w:r w:rsidRPr="00192605">
        <w:rPr>
          <w:rFonts w:asciiTheme="minorHAnsi" w:hAnsiTheme="minorHAnsi"/>
          <w:color w:val="auto"/>
          <w:sz w:val="22"/>
          <w:szCs w:val="22"/>
          <w:lang w:val="en-CA"/>
        </w:rPr>
        <w:t>NL HRA – Human Rights Act, 2010, Newfoundland and Labrador.</w:t>
      </w:r>
      <w:proofErr w:type="gramEnd"/>
      <w:r w:rsidRPr="00192605">
        <w:rPr>
          <w:rFonts w:asciiTheme="minorHAnsi" w:hAnsiTheme="minorHAnsi"/>
          <w:color w:val="auto"/>
          <w:sz w:val="22"/>
          <w:szCs w:val="22"/>
          <w:lang w:val="en-CA"/>
        </w:rPr>
        <w:t xml:space="preserve"> </w:t>
      </w:r>
      <w:proofErr w:type="gramStart"/>
      <w:r w:rsidRPr="00192605">
        <w:rPr>
          <w:rFonts w:asciiTheme="minorHAnsi" w:hAnsiTheme="minorHAnsi"/>
          <w:color w:val="auto"/>
          <w:sz w:val="22"/>
          <w:szCs w:val="22"/>
          <w:lang w:val="en-CA"/>
        </w:rPr>
        <w:t>Ch. H-13.1.</w:t>
      </w:r>
      <w:proofErr w:type="gramEnd"/>
      <w:r w:rsidRPr="00192605">
        <w:rPr>
          <w:rFonts w:asciiTheme="minorHAnsi" w:hAnsiTheme="minorHAnsi"/>
          <w:color w:val="auto"/>
          <w:sz w:val="22"/>
          <w:szCs w:val="22"/>
          <w:lang w:val="en-CA"/>
        </w:rPr>
        <w:t xml:space="preserve"> </w:t>
      </w:r>
      <w:hyperlink r:id="rId32" w:anchor="2" w:history="1">
        <w:r w:rsidR="00C15DE7" w:rsidRPr="00192605">
          <w:rPr>
            <w:rStyle w:val="Hyperlink"/>
            <w:rFonts w:asciiTheme="minorHAnsi" w:hAnsiTheme="minorHAnsi"/>
            <w:sz w:val="22"/>
            <w:szCs w:val="22"/>
            <w:lang w:val="en-CA"/>
          </w:rPr>
          <w:t>http://assembly.nl.ca/Legislation/sr/statutes/h13-1.htm#2</w:t>
        </w:r>
      </w:hyperlink>
    </w:p>
    <w:p w:rsidR="00C15DE7" w:rsidRPr="00192605" w:rsidRDefault="00C15DE7" w:rsidP="00C15DE7">
      <w:pPr>
        <w:pStyle w:val="Default"/>
        <w:ind w:left="2124"/>
        <w:rPr>
          <w:rFonts w:asciiTheme="minorHAnsi" w:hAnsiTheme="minorHAnsi"/>
          <w:color w:val="auto"/>
          <w:sz w:val="22"/>
          <w:szCs w:val="22"/>
          <w:lang w:val="en-CA"/>
        </w:rPr>
      </w:pPr>
    </w:p>
    <w:p w:rsidR="0039725E" w:rsidRPr="00192605" w:rsidRDefault="0039725E" w:rsidP="00C15DE7">
      <w:pPr>
        <w:pStyle w:val="Default"/>
        <w:ind w:left="2124"/>
        <w:rPr>
          <w:rFonts w:asciiTheme="minorHAnsi" w:hAnsiTheme="minorHAnsi"/>
          <w:color w:val="auto"/>
          <w:sz w:val="22"/>
          <w:szCs w:val="22"/>
          <w:lang w:val="en-CA"/>
        </w:rPr>
      </w:pPr>
      <w:r w:rsidRPr="00192605">
        <w:rPr>
          <w:rFonts w:asciiTheme="minorHAnsi" w:hAnsiTheme="minorHAnsi"/>
          <w:color w:val="auto"/>
          <w:sz w:val="22"/>
          <w:szCs w:val="22"/>
          <w:lang w:val="en-CA"/>
        </w:rPr>
        <w:t xml:space="preserve">NL HA01 – Collins, F. and Michael, L., (2010). </w:t>
      </w:r>
      <w:proofErr w:type="gramStart"/>
      <w:r w:rsidRPr="00192605">
        <w:rPr>
          <w:rFonts w:asciiTheme="minorHAnsi" w:hAnsiTheme="minorHAnsi"/>
          <w:color w:val="auto"/>
          <w:sz w:val="22"/>
          <w:szCs w:val="22"/>
          <w:lang w:val="en-CA"/>
        </w:rPr>
        <w:t>“Human Rights Commission”.</w:t>
      </w:r>
      <w:proofErr w:type="gramEnd"/>
      <w:r w:rsidRPr="00192605">
        <w:rPr>
          <w:rFonts w:asciiTheme="minorHAnsi" w:hAnsiTheme="minorHAnsi"/>
          <w:color w:val="auto"/>
          <w:sz w:val="22"/>
          <w:szCs w:val="22"/>
          <w:lang w:val="en-CA"/>
        </w:rPr>
        <w:t xml:space="preserve"> </w:t>
      </w:r>
      <w:proofErr w:type="gramStart"/>
      <w:r w:rsidRPr="00192605">
        <w:rPr>
          <w:rFonts w:asciiTheme="minorHAnsi" w:hAnsiTheme="minorHAnsi"/>
          <w:color w:val="auto"/>
          <w:sz w:val="22"/>
          <w:szCs w:val="22"/>
          <w:lang w:val="en-CA"/>
        </w:rPr>
        <w:t>Newfoundland and Labrador.</w:t>
      </w:r>
      <w:proofErr w:type="gramEnd"/>
      <w:r w:rsidRPr="00192605">
        <w:rPr>
          <w:rFonts w:asciiTheme="minorHAnsi" w:hAnsiTheme="minorHAnsi"/>
          <w:color w:val="auto"/>
          <w:sz w:val="22"/>
          <w:szCs w:val="22"/>
          <w:lang w:val="en-CA"/>
        </w:rPr>
        <w:t xml:space="preserve"> </w:t>
      </w:r>
      <w:proofErr w:type="gramStart"/>
      <w:r w:rsidRPr="00192605">
        <w:rPr>
          <w:rFonts w:asciiTheme="minorHAnsi" w:hAnsiTheme="minorHAnsi"/>
          <w:color w:val="auto"/>
          <w:sz w:val="22"/>
          <w:szCs w:val="22"/>
          <w:lang w:val="en-CA"/>
        </w:rPr>
        <w:t>House of Assembly Proceedings.</w:t>
      </w:r>
      <w:proofErr w:type="gramEnd"/>
      <w:r w:rsidRPr="00192605">
        <w:rPr>
          <w:rFonts w:asciiTheme="minorHAnsi" w:hAnsiTheme="minorHAnsi"/>
          <w:color w:val="auto"/>
          <w:sz w:val="22"/>
          <w:szCs w:val="22"/>
          <w:lang w:val="en-CA"/>
        </w:rPr>
        <w:t xml:space="preserve"> Debates, 46th General Assembly, 3rd Session, 2010-1011 Vol. XLVI No. 41,</w:t>
      </w:r>
      <w:r w:rsidR="00C15DE7" w:rsidRPr="00192605">
        <w:rPr>
          <w:rFonts w:asciiTheme="minorHAnsi" w:hAnsiTheme="minorHAnsi"/>
          <w:color w:val="auto"/>
          <w:sz w:val="22"/>
          <w:szCs w:val="22"/>
          <w:lang w:val="en-CA"/>
        </w:rPr>
        <w:t xml:space="preserve"> </w:t>
      </w:r>
      <w:proofErr w:type="gramStart"/>
      <w:r w:rsidR="00C15DE7" w:rsidRPr="00192605">
        <w:rPr>
          <w:rFonts w:asciiTheme="minorHAnsi" w:hAnsiTheme="minorHAnsi"/>
          <w:color w:val="auto"/>
          <w:sz w:val="22"/>
          <w:szCs w:val="22"/>
          <w:lang w:val="en-CA"/>
        </w:rPr>
        <w:t xml:space="preserve">22 </w:t>
      </w:r>
      <w:r w:rsidRPr="00192605">
        <w:rPr>
          <w:rFonts w:asciiTheme="minorHAnsi" w:hAnsiTheme="minorHAnsi"/>
          <w:color w:val="auto"/>
          <w:sz w:val="22"/>
          <w:szCs w:val="22"/>
          <w:lang w:val="en-CA"/>
        </w:rPr>
        <w:t xml:space="preserve"> </w:t>
      </w:r>
      <w:proofErr w:type="spellStart"/>
      <w:r w:rsidRPr="00192605">
        <w:rPr>
          <w:rFonts w:asciiTheme="minorHAnsi" w:hAnsiTheme="minorHAnsi"/>
          <w:color w:val="auto"/>
          <w:sz w:val="22"/>
          <w:szCs w:val="22"/>
          <w:lang w:val="en-CA"/>
        </w:rPr>
        <w:t>Ju</w:t>
      </w:r>
      <w:r w:rsidR="00C15DE7" w:rsidRPr="00192605">
        <w:rPr>
          <w:rFonts w:asciiTheme="minorHAnsi" w:hAnsiTheme="minorHAnsi"/>
          <w:color w:val="auto"/>
          <w:sz w:val="22"/>
          <w:szCs w:val="22"/>
          <w:lang w:val="en-CA"/>
        </w:rPr>
        <w:t>i</w:t>
      </w:r>
      <w:r w:rsidRPr="00192605">
        <w:rPr>
          <w:rFonts w:asciiTheme="minorHAnsi" w:hAnsiTheme="minorHAnsi"/>
          <w:color w:val="auto"/>
          <w:sz w:val="22"/>
          <w:szCs w:val="22"/>
          <w:lang w:val="en-CA"/>
        </w:rPr>
        <w:t>n</w:t>
      </w:r>
      <w:proofErr w:type="spellEnd"/>
      <w:proofErr w:type="gramEnd"/>
      <w:r w:rsidR="00C15DE7" w:rsidRPr="00192605">
        <w:rPr>
          <w:rFonts w:asciiTheme="minorHAnsi" w:hAnsiTheme="minorHAnsi"/>
          <w:color w:val="auto"/>
          <w:sz w:val="22"/>
          <w:szCs w:val="22"/>
          <w:lang w:val="en-CA"/>
        </w:rPr>
        <w:t xml:space="preserve"> </w:t>
      </w:r>
      <w:r w:rsidRPr="00192605">
        <w:rPr>
          <w:rFonts w:asciiTheme="minorHAnsi" w:hAnsiTheme="minorHAnsi"/>
          <w:color w:val="auto"/>
          <w:sz w:val="22"/>
          <w:szCs w:val="22"/>
          <w:lang w:val="en-CA"/>
        </w:rPr>
        <w:t xml:space="preserve"> 2010. St. John’s, </w:t>
      </w:r>
      <w:proofErr w:type="spellStart"/>
      <w:r w:rsidRPr="00192605">
        <w:rPr>
          <w:rFonts w:asciiTheme="minorHAnsi" w:hAnsiTheme="minorHAnsi"/>
          <w:color w:val="auto"/>
          <w:sz w:val="22"/>
          <w:szCs w:val="22"/>
          <w:lang w:val="en-CA"/>
        </w:rPr>
        <w:t>Hansard</w:t>
      </w:r>
      <w:proofErr w:type="spellEnd"/>
      <w:r w:rsidRPr="00192605">
        <w:rPr>
          <w:rFonts w:asciiTheme="minorHAnsi" w:hAnsiTheme="minorHAnsi"/>
          <w:color w:val="auto"/>
          <w:sz w:val="22"/>
          <w:szCs w:val="22"/>
          <w:lang w:val="en-CA"/>
        </w:rPr>
        <w:t xml:space="preserve">. http://www.assembly.nl.ca/business/hansard/ga46session3/10-06-22.htm#2066 </w:t>
      </w:r>
    </w:p>
    <w:p w:rsidR="00434093" w:rsidRPr="00192605" w:rsidRDefault="00434093" w:rsidP="0039725E">
      <w:pPr>
        <w:pStyle w:val="Default"/>
        <w:rPr>
          <w:rFonts w:asciiTheme="minorHAnsi" w:hAnsiTheme="minorHAnsi"/>
          <w:b/>
          <w:bCs/>
          <w:color w:val="auto"/>
          <w:sz w:val="22"/>
          <w:szCs w:val="22"/>
          <w:lang w:val="en-CA"/>
        </w:rPr>
      </w:pPr>
    </w:p>
    <w:p w:rsidR="00434093" w:rsidRPr="00192605" w:rsidRDefault="00434093" w:rsidP="0039725E">
      <w:pPr>
        <w:pStyle w:val="Default"/>
        <w:rPr>
          <w:rFonts w:asciiTheme="minorHAnsi" w:hAnsiTheme="minorHAnsi"/>
          <w:b/>
          <w:bCs/>
          <w:color w:val="auto"/>
          <w:sz w:val="22"/>
          <w:szCs w:val="22"/>
          <w:lang w:val="en-CA"/>
        </w:rPr>
      </w:pPr>
    </w:p>
    <w:p w:rsidR="00C15DE7" w:rsidRPr="00192605" w:rsidRDefault="00C15DE7" w:rsidP="0039725E">
      <w:pPr>
        <w:pStyle w:val="Default"/>
        <w:rPr>
          <w:rFonts w:asciiTheme="minorHAnsi" w:hAnsiTheme="minorHAnsi"/>
          <w:b/>
          <w:bCs/>
          <w:color w:val="auto"/>
          <w:sz w:val="22"/>
          <w:szCs w:val="22"/>
          <w:lang w:val="en-CA"/>
        </w:rPr>
      </w:pPr>
    </w:p>
    <w:p w:rsidR="0039725E" w:rsidRPr="00192605" w:rsidRDefault="0039725E" w:rsidP="00C15DE7">
      <w:pPr>
        <w:pStyle w:val="Default"/>
        <w:ind w:left="1416" w:firstLine="708"/>
        <w:rPr>
          <w:rFonts w:asciiTheme="minorHAnsi" w:hAnsiTheme="minorHAnsi"/>
          <w:b/>
          <w:bCs/>
          <w:color w:val="auto"/>
          <w:sz w:val="22"/>
          <w:szCs w:val="22"/>
        </w:rPr>
      </w:pPr>
      <w:r w:rsidRPr="00192605">
        <w:rPr>
          <w:rFonts w:asciiTheme="minorHAnsi" w:hAnsiTheme="minorHAnsi"/>
          <w:b/>
          <w:bCs/>
          <w:color w:val="auto"/>
          <w:sz w:val="22"/>
          <w:szCs w:val="22"/>
        </w:rPr>
        <w:t>N</w:t>
      </w:r>
      <w:r w:rsidR="00C15DE7" w:rsidRPr="00192605">
        <w:rPr>
          <w:rFonts w:asciiTheme="minorHAnsi" w:hAnsiTheme="minorHAnsi"/>
          <w:b/>
          <w:bCs/>
          <w:color w:val="auto"/>
          <w:sz w:val="22"/>
          <w:szCs w:val="22"/>
        </w:rPr>
        <w:t xml:space="preserve">OUVELLE-ÉCOSSE </w:t>
      </w:r>
      <w:r w:rsidRPr="00192605">
        <w:rPr>
          <w:rFonts w:asciiTheme="minorHAnsi" w:hAnsiTheme="minorHAnsi"/>
          <w:b/>
          <w:bCs/>
          <w:color w:val="auto"/>
          <w:sz w:val="22"/>
          <w:szCs w:val="22"/>
        </w:rPr>
        <w:t xml:space="preserve"> </w:t>
      </w:r>
    </w:p>
    <w:p w:rsidR="00C15DE7" w:rsidRPr="00192605" w:rsidRDefault="00C15DE7" w:rsidP="00C15DE7">
      <w:pPr>
        <w:pStyle w:val="Default"/>
        <w:ind w:left="1416" w:firstLine="708"/>
        <w:rPr>
          <w:rFonts w:asciiTheme="minorHAnsi" w:hAnsiTheme="minorHAnsi"/>
          <w:color w:val="auto"/>
          <w:sz w:val="22"/>
          <w:szCs w:val="22"/>
        </w:rPr>
      </w:pPr>
    </w:p>
    <w:p w:rsidR="00C15DE7" w:rsidRPr="00192605" w:rsidRDefault="0039725E" w:rsidP="00C15DE7">
      <w:pPr>
        <w:pStyle w:val="Default"/>
        <w:ind w:left="2124"/>
        <w:rPr>
          <w:rFonts w:asciiTheme="minorHAnsi" w:hAnsiTheme="minorHAnsi"/>
          <w:color w:val="auto"/>
          <w:sz w:val="22"/>
          <w:szCs w:val="22"/>
        </w:rPr>
      </w:pPr>
      <w:r w:rsidRPr="00192605">
        <w:rPr>
          <w:rFonts w:asciiTheme="minorHAnsi" w:hAnsiTheme="minorHAnsi"/>
          <w:color w:val="auto"/>
          <w:sz w:val="22"/>
          <w:szCs w:val="22"/>
        </w:rPr>
        <w:t xml:space="preserve">NS01 – </w:t>
      </w:r>
      <w:r w:rsidR="002B4099" w:rsidRPr="00192605">
        <w:rPr>
          <w:rFonts w:asciiTheme="minorHAnsi" w:hAnsiTheme="minorHAnsi"/>
          <w:color w:val="auto"/>
          <w:sz w:val="22"/>
          <w:szCs w:val="22"/>
        </w:rPr>
        <w:t>Ministères des Services communautaires, de l’Éducation, de la Santé et de la Promotion de la Santé (</w:t>
      </w:r>
      <w:r w:rsidRPr="00192605">
        <w:rPr>
          <w:rFonts w:asciiTheme="minorHAnsi" w:hAnsiTheme="minorHAnsi"/>
          <w:color w:val="auto"/>
          <w:sz w:val="22"/>
          <w:szCs w:val="22"/>
        </w:rPr>
        <w:t xml:space="preserve">2010). </w:t>
      </w:r>
      <w:r w:rsidR="002B4099" w:rsidRPr="00192605">
        <w:rPr>
          <w:rFonts w:asciiTheme="minorHAnsi" w:hAnsiTheme="minorHAnsi"/>
          <w:i/>
          <w:color w:val="auto"/>
          <w:sz w:val="22"/>
          <w:szCs w:val="22"/>
        </w:rPr>
        <w:t xml:space="preserve">Entente Canada-Nouvelle-Écosse sur le marché du travail visant les personnes handicapées </w:t>
      </w:r>
      <w:r w:rsidR="002B4099" w:rsidRPr="00192605">
        <w:rPr>
          <w:rFonts w:asciiTheme="minorHAnsi" w:hAnsiTheme="minorHAnsi"/>
          <w:color w:val="auto"/>
          <w:sz w:val="22"/>
          <w:szCs w:val="22"/>
        </w:rPr>
        <w:t xml:space="preserve">– </w:t>
      </w:r>
      <w:r w:rsidR="002B4099" w:rsidRPr="00192605">
        <w:rPr>
          <w:rFonts w:asciiTheme="minorHAnsi" w:hAnsiTheme="minorHAnsi"/>
          <w:i/>
          <w:color w:val="auto"/>
          <w:sz w:val="22"/>
          <w:szCs w:val="22"/>
        </w:rPr>
        <w:t>Rapport annuel 2009-2010</w:t>
      </w:r>
      <w:r w:rsidRPr="00192605">
        <w:rPr>
          <w:rFonts w:asciiTheme="minorHAnsi" w:hAnsiTheme="minorHAnsi"/>
          <w:i/>
          <w:iCs/>
          <w:color w:val="auto"/>
          <w:sz w:val="22"/>
          <w:szCs w:val="22"/>
        </w:rPr>
        <w:t xml:space="preserve">. </w:t>
      </w:r>
      <w:hyperlink r:id="rId33" w:history="1">
        <w:r w:rsidR="00C15DE7" w:rsidRPr="00192605">
          <w:rPr>
            <w:rStyle w:val="Hyperlink"/>
            <w:rFonts w:asciiTheme="minorHAnsi" w:hAnsiTheme="minorHAnsi"/>
            <w:sz w:val="22"/>
            <w:szCs w:val="22"/>
          </w:rPr>
          <w:t>http://www.gov.ns.ca/coms/department/documents/Labour_Market_Agreement_Disabilities_Report_2010.pdf</w:t>
        </w:r>
      </w:hyperlink>
    </w:p>
    <w:p w:rsidR="0039725E" w:rsidRPr="00192605" w:rsidRDefault="0039725E" w:rsidP="00C15DE7">
      <w:pPr>
        <w:pStyle w:val="Default"/>
        <w:ind w:left="2124"/>
        <w:rPr>
          <w:rFonts w:asciiTheme="minorHAnsi" w:hAnsiTheme="minorHAnsi"/>
          <w:color w:val="auto"/>
          <w:sz w:val="22"/>
          <w:szCs w:val="22"/>
        </w:rPr>
      </w:pPr>
      <w:r w:rsidRPr="00192605">
        <w:rPr>
          <w:rFonts w:asciiTheme="minorHAnsi" w:hAnsiTheme="minorHAnsi"/>
          <w:color w:val="auto"/>
          <w:sz w:val="22"/>
          <w:szCs w:val="22"/>
        </w:rPr>
        <w:t xml:space="preserve"> </w:t>
      </w:r>
    </w:p>
    <w:p w:rsidR="002B4099" w:rsidRPr="00192605" w:rsidRDefault="0039725E" w:rsidP="00C15DE7">
      <w:pPr>
        <w:pStyle w:val="Default"/>
        <w:ind w:left="2124"/>
        <w:rPr>
          <w:rFonts w:asciiTheme="minorHAnsi" w:hAnsiTheme="minorHAnsi"/>
          <w:color w:val="auto"/>
          <w:sz w:val="22"/>
          <w:szCs w:val="22"/>
        </w:rPr>
      </w:pPr>
      <w:r w:rsidRPr="00192605">
        <w:rPr>
          <w:rFonts w:asciiTheme="minorHAnsi" w:hAnsiTheme="minorHAnsi"/>
          <w:color w:val="auto"/>
          <w:sz w:val="22"/>
          <w:szCs w:val="22"/>
        </w:rPr>
        <w:t xml:space="preserve">NS02 – Nova </w:t>
      </w:r>
      <w:proofErr w:type="spellStart"/>
      <w:r w:rsidRPr="00192605">
        <w:rPr>
          <w:rFonts w:asciiTheme="minorHAnsi" w:hAnsiTheme="minorHAnsi"/>
          <w:color w:val="auto"/>
          <w:sz w:val="22"/>
          <w:szCs w:val="22"/>
        </w:rPr>
        <w:t>Scotia</w:t>
      </w:r>
      <w:proofErr w:type="spellEnd"/>
      <w:r w:rsidRPr="00192605">
        <w:rPr>
          <w:rFonts w:asciiTheme="minorHAnsi" w:hAnsiTheme="minorHAnsi"/>
          <w:color w:val="auto"/>
          <w:sz w:val="22"/>
          <w:szCs w:val="22"/>
        </w:rPr>
        <w:t xml:space="preserve"> </w:t>
      </w:r>
      <w:proofErr w:type="spellStart"/>
      <w:r w:rsidRPr="00192605">
        <w:rPr>
          <w:rFonts w:asciiTheme="minorHAnsi" w:hAnsiTheme="minorHAnsi"/>
          <w:color w:val="auto"/>
          <w:sz w:val="22"/>
          <w:szCs w:val="22"/>
        </w:rPr>
        <w:t>Poverty</w:t>
      </w:r>
      <w:proofErr w:type="spellEnd"/>
      <w:r w:rsidRPr="00192605">
        <w:rPr>
          <w:rFonts w:asciiTheme="minorHAnsi" w:hAnsiTheme="minorHAnsi"/>
          <w:color w:val="auto"/>
          <w:sz w:val="22"/>
          <w:szCs w:val="22"/>
        </w:rPr>
        <w:t xml:space="preserve"> </w:t>
      </w:r>
      <w:proofErr w:type="spellStart"/>
      <w:r w:rsidRPr="00192605">
        <w:rPr>
          <w:rFonts w:asciiTheme="minorHAnsi" w:hAnsiTheme="minorHAnsi"/>
          <w:color w:val="auto"/>
          <w:sz w:val="22"/>
          <w:szCs w:val="22"/>
        </w:rPr>
        <w:t>Reduction</w:t>
      </w:r>
      <w:proofErr w:type="spellEnd"/>
      <w:r w:rsidRPr="00192605">
        <w:rPr>
          <w:rFonts w:asciiTheme="minorHAnsi" w:hAnsiTheme="minorHAnsi"/>
          <w:color w:val="auto"/>
          <w:sz w:val="22"/>
          <w:szCs w:val="22"/>
        </w:rPr>
        <w:t xml:space="preserve"> </w:t>
      </w:r>
      <w:proofErr w:type="spellStart"/>
      <w:r w:rsidRPr="00192605">
        <w:rPr>
          <w:rFonts w:asciiTheme="minorHAnsi" w:hAnsiTheme="minorHAnsi"/>
          <w:color w:val="auto"/>
          <w:sz w:val="22"/>
          <w:szCs w:val="22"/>
        </w:rPr>
        <w:t>Strategy</w:t>
      </w:r>
      <w:proofErr w:type="spellEnd"/>
      <w:r w:rsidRPr="00192605">
        <w:rPr>
          <w:rFonts w:asciiTheme="minorHAnsi" w:hAnsiTheme="minorHAnsi"/>
          <w:color w:val="auto"/>
          <w:sz w:val="22"/>
          <w:szCs w:val="22"/>
        </w:rPr>
        <w:t xml:space="preserve"> Coalition (2007), </w:t>
      </w:r>
      <w:r w:rsidR="002B4099" w:rsidRPr="00192605">
        <w:rPr>
          <w:rFonts w:asciiTheme="minorHAnsi" w:hAnsiTheme="minorHAnsi"/>
          <w:i/>
          <w:color w:val="auto"/>
          <w:sz w:val="22"/>
          <w:szCs w:val="22"/>
        </w:rPr>
        <w:t>Cadre de travail pour une stratégie de réduction de la pauvreté en nouvelle Écosse</w:t>
      </w:r>
      <w:r w:rsidRPr="00192605">
        <w:rPr>
          <w:rFonts w:asciiTheme="minorHAnsi" w:hAnsiTheme="minorHAnsi"/>
          <w:i/>
          <w:color w:val="auto"/>
          <w:sz w:val="22"/>
          <w:szCs w:val="22"/>
        </w:rPr>
        <w:t>.</w:t>
      </w:r>
      <w:r w:rsidRPr="00192605">
        <w:rPr>
          <w:rFonts w:asciiTheme="minorHAnsi" w:hAnsiTheme="minorHAnsi"/>
          <w:color w:val="auto"/>
          <w:sz w:val="22"/>
          <w:szCs w:val="22"/>
        </w:rPr>
        <w:t xml:space="preserve"> </w:t>
      </w:r>
      <w:hyperlink r:id="rId34" w:history="1">
        <w:r w:rsidR="002B4099" w:rsidRPr="00192605">
          <w:rPr>
            <w:rStyle w:val="Hyperlink"/>
            <w:rFonts w:asciiTheme="minorHAnsi" w:hAnsiTheme="minorHAnsi"/>
            <w:sz w:val="22"/>
            <w:szCs w:val="22"/>
          </w:rPr>
          <w:t>http://novascotia.ca/coms/fr/no_longer_published/specials/poverty/index.html</w:t>
        </w:r>
      </w:hyperlink>
    </w:p>
    <w:p w:rsidR="0039725E" w:rsidRPr="00192605" w:rsidRDefault="0039725E" w:rsidP="00C15DE7">
      <w:pPr>
        <w:pStyle w:val="Default"/>
        <w:ind w:left="2124"/>
        <w:rPr>
          <w:rFonts w:asciiTheme="minorHAnsi" w:hAnsiTheme="minorHAnsi"/>
          <w:color w:val="auto"/>
          <w:sz w:val="22"/>
          <w:szCs w:val="22"/>
        </w:rPr>
      </w:pPr>
    </w:p>
    <w:p w:rsidR="00C15DE7" w:rsidRPr="00192605" w:rsidRDefault="00C15DE7" w:rsidP="00C15DE7">
      <w:pPr>
        <w:pStyle w:val="Default"/>
        <w:ind w:left="2124"/>
        <w:rPr>
          <w:rFonts w:asciiTheme="minorHAnsi" w:hAnsiTheme="minorHAnsi"/>
          <w:color w:val="auto"/>
          <w:sz w:val="22"/>
          <w:szCs w:val="22"/>
        </w:rPr>
      </w:pPr>
    </w:p>
    <w:p w:rsidR="0039725E" w:rsidRPr="00192605" w:rsidRDefault="0039725E" w:rsidP="00C15DE7">
      <w:pPr>
        <w:pStyle w:val="Default"/>
        <w:ind w:left="2124"/>
        <w:rPr>
          <w:rFonts w:asciiTheme="minorHAnsi" w:hAnsiTheme="minorHAnsi"/>
          <w:color w:val="auto"/>
          <w:sz w:val="22"/>
          <w:szCs w:val="22"/>
        </w:rPr>
      </w:pPr>
      <w:r w:rsidRPr="00192605">
        <w:rPr>
          <w:rFonts w:asciiTheme="minorHAnsi" w:hAnsiTheme="minorHAnsi"/>
          <w:color w:val="auto"/>
          <w:sz w:val="22"/>
          <w:szCs w:val="22"/>
        </w:rPr>
        <w:t xml:space="preserve">NS03 – Province </w:t>
      </w:r>
      <w:r w:rsidR="002B4099" w:rsidRPr="00192605">
        <w:rPr>
          <w:rFonts w:asciiTheme="minorHAnsi" w:hAnsiTheme="minorHAnsi"/>
          <w:color w:val="auto"/>
          <w:sz w:val="22"/>
          <w:szCs w:val="22"/>
        </w:rPr>
        <w:t>de la Nouvelle-Écosse</w:t>
      </w:r>
      <w:r w:rsidRPr="00192605">
        <w:rPr>
          <w:rFonts w:asciiTheme="minorHAnsi" w:hAnsiTheme="minorHAnsi"/>
          <w:color w:val="auto"/>
          <w:sz w:val="22"/>
          <w:szCs w:val="22"/>
        </w:rPr>
        <w:t xml:space="preserve"> (2009). </w:t>
      </w:r>
      <w:proofErr w:type="gramStart"/>
      <w:r w:rsidRPr="00192605">
        <w:rPr>
          <w:rFonts w:asciiTheme="minorHAnsi" w:hAnsiTheme="minorHAnsi"/>
          <w:i/>
          <w:iCs/>
          <w:color w:val="auto"/>
          <w:sz w:val="22"/>
          <w:szCs w:val="22"/>
          <w:lang w:val="en-CA"/>
        </w:rPr>
        <w:t>Preventing Poverty.</w:t>
      </w:r>
      <w:proofErr w:type="gramEnd"/>
      <w:r w:rsidRPr="00192605">
        <w:rPr>
          <w:rFonts w:asciiTheme="minorHAnsi" w:hAnsiTheme="minorHAnsi"/>
          <w:i/>
          <w:iCs/>
          <w:color w:val="auto"/>
          <w:sz w:val="22"/>
          <w:szCs w:val="22"/>
          <w:lang w:val="en-CA"/>
        </w:rPr>
        <w:t xml:space="preserve"> </w:t>
      </w:r>
      <w:proofErr w:type="gramStart"/>
      <w:r w:rsidRPr="00192605">
        <w:rPr>
          <w:rFonts w:asciiTheme="minorHAnsi" w:hAnsiTheme="minorHAnsi"/>
          <w:i/>
          <w:iCs/>
          <w:color w:val="auto"/>
          <w:sz w:val="22"/>
          <w:szCs w:val="22"/>
          <w:lang w:val="en-CA"/>
        </w:rPr>
        <w:t>Promoting Prosperity.</w:t>
      </w:r>
      <w:proofErr w:type="gramEnd"/>
      <w:r w:rsidRPr="00192605">
        <w:rPr>
          <w:rFonts w:asciiTheme="minorHAnsi" w:hAnsiTheme="minorHAnsi"/>
          <w:i/>
          <w:iCs/>
          <w:color w:val="auto"/>
          <w:sz w:val="22"/>
          <w:szCs w:val="22"/>
          <w:lang w:val="en-CA"/>
        </w:rPr>
        <w:t xml:space="preserve"> Nova Scotia’s Poverty Reduction Strategy</w:t>
      </w:r>
      <w:r w:rsidR="00B94DC1">
        <w:rPr>
          <w:rFonts w:asciiTheme="minorHAnsi" w:hAnsiTheme="minorHAnsi"/>
          <w:color w:val="auto"/>
          <w:sz w:val="22"/>
          <w:szCs w:val="22"/>
          <w:lang w:val="en-CA"/>
        </w:rPr>
        <w:t xml:space="preserve"> (</w:t>
      </w:r>
      <w:proofErr w:type="spellStart"/>
      <w:r w:rsidR="00B94DC1">
        <w:rPr>
          <w:rFonts w:asciiTheme="minorHAnsi" w:hAnsiTheme="minorHAnsi"/>
          <w:color w:val="auto"/>
          <w:sz w:val="22"/>
          <w:szCs w:val="22"/>
          <w:lang w:val="en-CA"/>
        </w:rPr>
        <w:t>en</w:t>
      </w:r>
      <w:proofErr w:type="spellEnd"/>
      <w:r w:rsidR="00B94DC1">
        <w:rPr>
          <w:rFonts w:asciiTheme="minorHAnsi" w:hAnsiTheme="minorHAnsi"/>
          <w:color w:val="auto"/>
          <w:sz w:val="22"/>
          <w:szCs w:val="22"/>
          <w:lang w:val="en-CA"/>
        </w:rPr>
        <w:t xml:space="preserve"> </w:t>
      </w:r>
      <w:proofErr w:type="spellStart"/>
      <w:r w:rsidR="00B94DC1">
        <w:rPr>
          <w:rFonts w:asciiTheme="minorHAnsi" w:hAnsiTheme="minorHAnsi"/>
          <w:color w:val="auto"/>
          <w:sz w:val="22"/>
          <w:szCs w:val="22"/>
          <w:lang w:val="en-CA"/>
        </w:rPr>
        <w:t>a</w:t>
      </w:r>
      <w:r w:rsidR="00967570" w:rsidRPr="00192605">
        <w:rPr>
          <w:rFonts w:asciiTheme="minorHAnsi" w:hAnsiTheme="minorHAnsi"/>
          <w:color w:val="auto"/>
          <w:sz w:val="22"/>
          <w:szCs w:val="22"/>
          <w:lang w:val="en-CA"/>
        </w:rPr>
        <w:t>nglais</w:t>
      </w:r>
      <w:proofErr w:type="spellEnd"/>
      <w:r w:rsidR="00967570" w:rsidRPr="00192605">
        <w:rPr>
          <w:rFonts w:asciiTheme="minorHAnsi" w:hAnsiTheme="minorHAnsi"/>
          <w:color w:val="auto"/>
          <w:sz w:val="22"/>
          <w:szCs w:val="22"/>
          <w:lang w:val="en-CA"/>
        </w:rPr>
        <w:t>)</w:t>
      </w:r>
      <w:r w:rsidRPr="00192605">
        <w:rPr>
          <w:rFonts w:asciiTheme="minorHAnsi" w:hAnsiTheme="minorHAnsi"/>
          <w:color w:val="auto"/>
          <w:sz w:val="22"/>
          <w:szCs w:val="22"/>
          <w:lang w:val="en-CA"/>
        </w:rPr>
        <w:t xml:space="preserve"> (ISBN: 978-1-55457-293-9). </w:t>
      </w:r>
      <w:hyperlink r:id="rId35" w:history="1">
        <w:r w:rsidR="00C15DE7" w:rsidRPr="00192605">
          <w:rPr>
            <w:rStyle w:val="Hyperlink"/>
            <w:rFonts w:asciiTheme="minorHAnsi" w:hAnsiTheme="minorHAnsi"/>
            <w:sz w:val="22"/>
            <w:szCs w:val="22"/>
          </w:rPr>
          <w:t>http://www.gov.ns.ca/coms/specials/poverty/documents/poverty_report_2009.pdf</w:t>
        </w:r>
      </w:hyperlink>
      <w:r w:rsidRPr="00192605">
        <w:rPr>
          <w:rFonts w:asciiTheme="minorHAnsi" w:hAnsiTheme="minorHAnsi"/>
          <w:color w:val="auto"/>
          <w:sz w:val="22"/>
          <w:szCs w:val="22"/>
        </w:rPr>
        <w:t xml:space="preserve"> </w:t>
      </w:r>
    </w:p>
    <w:p w:rsidR="00C15DE7" w:rsidRPr="00192605" w:rsidRDefault="00C15DE7" w:rsidP="00C15DE7">
      <w:pPr>
        <w:pStyle w:val="Default"/>
        <w:ind w:left="2124"/>
        <w:rPr>
          <w:rFonts w:asciiTheme="minorHAnsi" w:hAnsiTheme="minorHAnsi"/>
          <w:color w:val="auto"/>
          <w:sz w:val="22"/>
          <w:szCs w:val="22"/>
        </w:rPr>
      </w:pPr>
    </w:p>
    <w:p w:rsidR="0039725E" w:rsidRPr="00192605" w:rsidRDefault="0039725E" w:rsidP="00C15DE7">
      <w:pPr>
        <w:pStyle w:val="Default"/>
        <w:ind w:left="2124"/>
        <w:rPr>
          <w:rFonts w:asciiTheme="minorHAnsi" w:hAnsiTheme="minorHAnsi"/>
          <w:color w:val="auto"/>
          <w:sz w:val="22"/>
          <w:szCs w:val="22"/>
        </w:rPr>
      </w:pPr>
      <w:r w:rsidRPr="00192605">
        <w:rPr>
          <w:rFonts w:asciiTheme="minorHAnsi" w:hAnsiTheme="minorHAnsi"/>
          <w:color w:val="auto"/>
          <w:sz w:val="22"/>
          <w:szCs w:val="22"/>
        </w:rPr>
        <w:t xml:space="preserve">NS04 – </w:t>
      </w:r>
      <w:r w:rsidR="002B4099" w:rsidRPr="00192605">
        <w:rPr>
          <w:rFonts w:asciiTheme="minorHAnsi" w:hAnsiTheme="minorHAnsi"/>
          <w:color w:val="auto"/>
          <w:sz w:val="22"/>
          <w:szCs w:val="22"/>
        </w:rPr>
        <w:t>Ministère des Services communautaires de la Nouvelle-Écosse</w:t>
      </w:r>
      <w:r w:rsidRPr="00192605">
        <w:rPr>
          <w:rFonts w:asciiTheme="minorHAnsi" w:hAnsiTheme="minorHAnsi"/>
          <w:color w:val="auto"/>
          <w:sz w:val="22"/>
          <w:szCs w:val="22"/>
        </w:rPr>
        <w:t xml:space="preserve"> (2011). </w:t>
      </w:r>
      <w:r w:rsidRPr="00192605">
        <w:rPr>
          <w:rFonts w:asciiTheme="minorHAnsi" w:hAnsiTheme="minorHAnsi"/>
          <w:i/>
          <w:iCs/>
          <w:color w:val="auto"/>
          <w:sz w:val="22"/>
          <w:szCs w:val="22"/>
          <w:lang w:val="en-CA"/>
        </w:rPr>
        <w:t>Improvements to a range of programs begin July 1</w:t>
      </w:r>
      <w:r w:rsidR="00967570" w:rsidRPr="00192605">
        <w:rPr>
          <w:rFonts w:asciiTheme="minorHAnsi" w:hAnsiTheme="minorHAnsi"/>
          <w:i/>
          <w:iCs/>
          <w:color w:val="auto"/>
          <w:sz w:val="22"/>
          <w:szCs w:val="22"/>
          <w:lang w:val="en-CA"/>
        </w:rPr>
        <w:t xml:space="preserve"> (</w:t>
      </w:r>
      <w:proofErr w:type="spellStart"/>
      <w:r w:rsidR="00967570" w:rsidRPr="00192605">
        <w:rPr>
          <w:rFonts w:asciiTheme="minorHAnsi" w:hAnsiTheme="minorHAnsi"/>
          <w:i/>
          <w:iCs/>
          <w:color w:val="auto"/>
          <w:sz w:val="22"/>
          <w:szCs w:val="22"/>
          <w:lang w:val="en-CA"/>
        </w:rPr>
        <w:t>en</w:t>
      </w:r>
      <w:proofErr w:type="spellEnd"/>
      <w:r w:rsidR="00967570" w:rsidRPr="00192605">
        <w:rPr>
          <w:rFonts w:asciiTheme="minorHAnsi" w:hAnsiTheme="minorHAnsi"/>
          <w:i/>
          <w:iCs/>
          <w:color w:val="auto"/>
          <w:sz w:val="22"/>
          <w:szCs w:val="22"/>
          <w:lang w:val="en-CA"/>
        </w:rPr>
        <w:t xml:space="preserve"> Anglais)</w:t>
      </w:r>
      <w:r w:rsidRPr="00192605">
        <w:rPr>
          <w:rFonts w:asciiTheme="minorHAnsi" w:hAnsiTheme="minorHAnsi"/>
          <w:color w:val="auto"/>
          <w:sz w:val="22"/>
          <w:szCs w:val="22"/>
          <w:lang w:val="en-CA"/>
        </w:rPr>
        <w:t xml:space="preserve">. </w:t>
      </w:r>
      <w:hyperlink r:id="rId36" w:history="1">
        <w:r w:rsidR="00385A7B" w:rsidRPr="00192605">
          <w:rPr>
            <w:rStyle w:val="Hyperlink"/>
            <w:rFonts w:asciiTheme="minorHAnsi" w:hAnsiTheme="minorHAnsi"/>
            <w:sz w:val="22"/>
            <w:szCs w:val="22"/>
          </w:rPr>
          <w:t>http://www.novascotia.ca/coms/noteworthy/JulyFirst.html</w:t>
        </w:r>
      </w:hyperlink>
    </w:p>
    <w:p w:rsidR="00385A7B" w:rsidRPr="00192605" w:rsidRDefault="00385A7B" w:rsidP="00C15DE7">
      <w:pPr>
        <w:pStyle w:val="Default"/>
        <w:ind w:left="2124"/>
        <w:rPr>
          <w:rFonts w:asciiTheme="minorHAnsi" w:hAnsiTheme="minorHAnsi"/>
          <w:color w:val="auto"/>
          <w:sz w:val="22"/>
          <w:szCs w:val="22"/>
        </w:rPr>
      </w:pPr>
    </w:p>
    <w:p w:rsidR="0039725E" w:rsidRPr="00192605" w:rsidRDefault="0039725E" w:rsidP="00C15DE7">
      <w:pPr>
        <w:pStyle w:val="Default"/>
        <w:ind w:left="2124"/>
        <w:rPr>
          <w:rFonts w:asciiTheme="minorHAnsi" w:hAnsiTheme="minorHAnsi"/>
          <w:color w:val="auto"/>
          <w:sz w:val="22"/>
          <w:szCs w:val="22"/>
        </w:rPr>
      </w:pPr>
      <w:r w:rsidRPr="00192605">
        <w:rPr>
          <w:rFonts w:asciiTheme="minorHAnsi" w:hAnsiTheme="minorHAnsi"/>
          <w:color w:val="auto"/>
          <w:sz w:val="22"/>
          <w:szCs w:val="22"/>
        </w:rPr>
        <w:t xml:space="preserve">NS05 – </w:t>
      </w:r>
      <w:r w:rsidR="00385A7B" w:rsidRPr="00192605">
        <w:rPr>
          <w:rFonts w:asciiTheme="minorHAnsi" w:hAnsiTheme="minorHAnsi"/>
          <w:color w:val="auto"/>
          <w:sz w:val="22"/>
          <w:szCs w:val="22"/>
        </w:rPr>
        <w:t>Entente Canada-Nouvelle-Écosse sur le marché du travail visant les personnes handicapées – Rapport annuel 2009-2010</w:t>
      </w:r>
      <w:r w:rsidR="00385A7B" w:rsidRPr="00192605">
        <w:rPr>
          <w:rFonts w:asciiTheme="minorHAnsi" w:hAnsiTheme="minorHAnsi"/>
          <w:i/>
          <w:iCs/>
          <w:color w:val="auto"/>
          <w:sz w:val="22"/>
          <w:szCs w:val="22"/>
        </w:rPr>
        <w:t xml:space="preserve">. </w:t>
      </w:r>
      <w:hyperlink r:id="rId37" w:history="1">
        <w:r w:rsidR="00385A7B" w:rsidRPr="00192605">
          <w:rPr>
            <w:rStyle w:val="Hyperlink"/>
            <w:rFonts w:asciiTheme="minorHAnsi" w:hAnsiTheme="minorHAnsi"/>
            <w:sz w:val="22"/>
            <w:szCs w:val="22"/>
          </w:rPr>
          <w:t>http://www.gov.ns.ca/coms/department/documents/Labour_Market_Agreement_Disabilities_Report_2010.pdf</w:t>
        </w:r>
      </w:hyperlink>
      <w:r w:rsidR="00385A7B" w:rsidRPr="00192605">
        <w:rPr>
          <w:rFonts w:asciiTheme="minorHAnsi" w:hAnsiTheme="minorHAnsi"/>
          <w:color w:val="auto"/>
          <w:sz w:val="22"/>
          <w:szCs w:val="22"/>
        </w:rPr>
        <w:t xml:space="preserve"> </w:t>
      </w:r>
    </w:p>
    <w:p w:rsidR="00C15DE7" w:rsidRPr="00192605" w:rsidRDefault="00C15DE7" w:rsidP="00C15DE7">
      <w:pPr>
        <w:pStyle w:val="Default"/>
        <w:ind w:left="2124"/>
        <w:rPr>
          <w:rFonts w:asciiTheme="minorHAnsi" w:hAnsiTheme="minorHAnsi"/>
          <w:color w:val="auto"/>
          <w:sz w:val="22"/>
          <w:szCs w:val="22"/>
        </w:rPr>
      </w:pPr>
    </w:p>
    <w:p w:rsidR="0039725E" w:rsidRPr="00192605" w:rsidRDefault="0039725E" w:rsidP="00C15DE7">
      <w:pPr>
        <w:pStyle w:val="Default"/>
        <w:ind w:left="2124"/>
        <w:rPr>
          <w:rFonts w:asciiTheme="minorHAnsi" w:hAnsiTheme="minorHAnsi"/>
          <w:color w:val="auto"/>
          <w:sz w:val="22"/>
          <w:szCs w:val="22"/>
        </w:rPr>
      </w:pPr>
      <w:r w:rsidRPr="00192605">
        <w:rPr>
          <w:rFonts w:asciiTheme="minorHAnsi" w:hAnsiTheme="minorHAnsi"/>
          <w:color w:val="auto"/>
          <w:sz w:val="22"/>
          <w:szCs w:val="22"/>
        </w:rPr>
        <w:t xml:space="preserve">NS06 – </w:t>
      </w:r>
      <w:r w:rsidR="00967570" w:rsidRPr="00192605">
        <w:rPr>
          <w:rFonts w:asciiTheme="minorHAnsi" w:hAnsiTheme="minorHAnsi"/>
          <w:color w:val="auto"/>
          <w:sz w:val="22"/>
          <w:szCs w:val="22"/>
        </w:rPr>
        <w:t>Site Web du ministère des Services communautaires de la Nouvelle-Écosse</w:t>
      </w:r>
      <w:r w:rsidRPr="00192605">
        <w:rPr>
          <w:rFonts w:asciiTheme="minorHAnsi" w:hAnsiTheme="minorHAnsi"/>
          <w:color w:val="auto"/>
          <w:sz w:val="22"/>
          <w:szCs w:val="22"/>
        </w:rPr>
        <w:t xml:space="preserve"> </w:t>
      </w:r>
      <w:r w:rsidRPr="00192605">
        <w:rPr>
          <w:rFonts w:asciiTheme="minorHAnsi" w:hAnsiTheme="minorHAnsi"/>
          <w:i/>
          <w:iCs/>
          <w:color w:val="auto"/>
          <w:sz w:val="22"/>
          <w:szCs w:val="22"/>
        </w:rPr>
        <w:t xml:space="preserve">Action </w:t>
      </w:r>
      <w:proofErr w:type="spellStart"/>
      <w:r w:rsidRPr="00192605">
        <w:rPr>
          <w:rFonts w:asciiTheme="minorHAnsi" w:hAnsiTheme="minorHAnsi"/>
          <w:i/>
          <w:iCs/>
          <w:color w:val="auto"/>
          <w:sz w:val="22"/>
          <w:szCs w:val="22"/>
        </w:rPr>
        <w:t>Taken</w:t>
      </w:r>
      <w:proofErr w:type="spellEnd"/>
      <w:r w:rsidRPr="00192605">
        <w:rPr>
          <w:rFonts w:asciiTheme="minorHAnsi" w:hAnsiTheme="minorHAnsi"/>
          <w:i/>
          <w:iCs/>
          <w:color w:val="auto"/>
          <w:sz w:val="22"/>
          <w:szCs w:val="22"/>
        </w:rPr>
        <w:t xml:space="preserve"> to </w:t>
      </w:r>
      <w:proofErr w:type="spellStart"/>
      <w:r w:rsidRPr="00192605">
        <w:rPr>
          <w:rFonts w:asciiTheme="minorHAnsi" w:hAnsiTheme="minorHAnsi"/>
          <w:i/>
          <w:iCs/>
          <w:color w:val="auto"/>
          <w:sz w:val="22"/>
          <w:szCs w:val="22"/>
        </w:rPr>
        <w:t>Improve</w:t>
      </w:r>
      <w:proofErr w:type="spellEnd"/>
      <w:r w:rsidRPr="00192605">
        <w:rPr>
          <w:rFonts w:asciiTheme="minorHAnsi" w:hAnsiTheme="minorHAnsi"/>
          <w:i/>
          <w:iCs/>
          <w:color w:val="auto"/>
          <w:sz w:val="22"/>
          <w:szCs w:val="22"/>
        </w:rPr>
        <w:t xml:space="preserve"> Services for </w:t>
      </w:r>
      <w:proofErr w:type="spellStart"/>
      <w:r w:rsidRPr="00192605">
        <w:rPr>
          <w:rFonts w:asciiTheme="minorHAnsi" w:hAnsiTheme="minorHAnsi"/>
          <w:i/>
          <w:iCs/>
          <w:color w:val="auto"/>
          <w:sz w:val="22"/>
          <w:szCs w:val="22"/>
        </w:rPr>
        <w:t>Persons</w:t>
      </w:r>
      <w:proofErr w:type="spellEnd"/>
      <w:r w:rsidRPr="00192605">
        <w:rPr>
          <w:rFonts w:asciiTheme="minorHAnsi" w:hAnsiTheme="minorHAnsi"/>
          <w:i/>
          <w:iCs/>
          <w:color w:val="auto"/>
          <w:sz w:val="22"/>
          <w:szCs w:val="22"/>
        </w:rPr>
        <w:t xml:space="preserve"> </w:t>
      </w:r>
      <w:proofErr w:type="spellStart"/>
      <w:r w:rsidRPr="00192605">
        <w:rPr>
          <w:rFonts w:asciiTheme="minorHAnsi" w:hAnsiTheme="minorHAnsi"/>
          <w:i/>
          <w:iCs/>
          <w:color w:val="auto"/>
          <w:sz w:val="22"/>
          <w:szCs w:val="22"/>
        </w:rPr>
        <w:t>with</w:t>
      </w:r>
      <w:proofErr w:type="spellEnd"/>
      <w:r w:rsidRPr="00192605">
        <w:rPr>
          <w:rFonts w:asciiTheme="minorHAnsi" w:hAnsiTheme="minorHAnsi"/>
          <w:i/>
          <w:iCs/>
          <w:color w:val="auto"/>
          <w:sz w:val="22"/>
          <w:szCs w:val="22"/>
        </w:rPr>
        <w:t xml:space="preserve"> </w:t>
      </w:r>
      <w:proofErr w:type="spellStart"/>
      <w:r w:rsidRPr="00192605">
        <w:rPr>
          <w:rFonts w:asciiTheme="minorHAnsi" w:hAnsiTheme="minorHAnsi"/>
          <w:i/>
          <w:iCs/>
          <w:color w:val="auto"/>
          <w:sz w:val="22"/>
          <w:szCs w:val="22"/>
        </w:rPr>
        <w:t>Disabilities</w:t>
      </w:r>
      <w:proofErr w:type="spellEnd"/>
      <w:r w:rsidR="00967570" w:rsidRPr="00192605">
        <w:rPr>
          <w:rFonts w:asciiTheme="minorHAnsi" w:hAnsiTheme="minorHAnsi"/>
          <w:color w:val="auto"/>
          <w:sz w:val="22"/>
          <w:szCs w:val="22"/>
        </w:rPr>
        <w:t xml:space="preserve"> (en anglais) </w:t>
      </w:r>
      <w:r w:rsidRPr="00192605">
        <w:rPr>
          <w:rFonts w:asciiTheme="minorHAnsi" w:hAnsiTheme="minorHAnsi"/>
          <w:color w:val="auto"/>
          <w:sz w:val="22"/>
          <w:szCs w:val="22"/>
        </w:rPr>
        <w:t xml:space="preserve"> </w:t>
      </w:r>
      <w:hyperlink r:id="rId38" w:history="1">
        <w:r w:rsidR="00C15DE7" w:rsidRPr="00192605">
          <w:rPr>
            <w:rStyle w:val="Hyperlink"/>
            <w:rFonts w:asciiTheme="minorHAnsi" w:hAnsiTheme="minorHAnsi"/>
            <w:sz w:val="22"/>
            <w:szCs w:val="22"/>
          </w:rPr>
          <w:t>http://www.gov.ns.ca/coms/noteworthy/SPD_Fact_Sheet.html</w:t>
        </w:r>
      </w:hyperlink>
      <w:r w:rsidRPr="00192605">
        <w:rPr>
          <w:rFonts w:asciiTheme="minorHAnsi" w:hAnsiTheme="minorHAnsi"/>
          <w:color w:val="auto"/>
          <w:sz w:val="22"/>
          <w:szCs w:val="22"/>
        </w:rPr>
        <w:t xml:space="preserve"> </w:t>
      </w:r>
    </w:p>
    <w:p w:rsidR="00C15DE7" w:rsidRPr="00192605" w:rsidRDefault="00C15DE7" w:rsidP="00C15DE7">
      <w:pPr>
        <w:pStyle w:val="Default"/>
        <w:ind w:left="2124"/>
        <w:rPr>
          <w:rFonts w:asciiTheme="minorHAnsi" w:hAnsiTheme="minorHAnsi"/>
          <w:color w:val="auto"/>
          <w:sz w:val="22"/>
          <w:szCs w:val="22"/>
        </w:rPr>
      </w:pPr>
    </w:p>
    <w:p w:rsidR="0039725E" w:rsidRPr="00192605" w:rsidRDefault="0039725E" w:rsidP="00C15DE7">
      <w:pPr>
        <w:pStyle w:val="Default"/>
        <w:ind w:left="2124"/>
        <w:rPr>
          <w:rFonts w:asciiTheme="minorHAnsi" w:hAnsiTheme="minorHAnsi"/>
          <w:color w:val="auto"/>
          <w:sz w:val="22"/>
          <w:szCs w:val="22"/>
          <w:lang w:val="en-CA"/>
        </w:rPr>
      </w:pPr>
      <w:r w:rsidRPr="00192605">
        <w:rPr>
          <w:rFonts w:asciiTheme="minorHAnsi" w:hAnsiTheme="minorHAnsi"/>
          <w:color w:val="auto"/>
          <w:sz w:val="22"/>
          <w:szCs w:val="22"/>
          <w:lang w:val="en-CA"/>
        </w:rPr>
        <w:t xml:space="preserve">NS07 – Nova Scotia Health Research Foundation (2011), </w:t>
      </w:r>
      <w:r w:rsidRPr="00192605">
        <w:rPr>
          <w:rFonts w:asciiTheme="minorHAnsi" w:hAnsiTheme="minorHAnsi"/>
          <w:i/>
          <w:iCs/>
          <w:color w:val="auto"/>
          <w:sz w:val="22"/>
          <w:szCs w:val="22"/>
          <w:lang w:val="en-CA"/>
        </w:rPr>
        <w:t xml:space="preserve">Mental Health and Addictions Strategy Project Updates </w:t>
      </w:r>
      <w:hyperlink r:id="rId39" w:history="1">
        <w:r w:rsidR="00C15DE7" w:rsidRPr="00192605">
          <w:rPr>
            <w:rStyle w:val="Hyperlink"/>
            <w:rFonts w:asciiTheme="minorHAnsi" w:hAnsiTheme="minorHAnsi"/>
            <w:sz w:val="22"/>
            <w:szCs w:val="22"/>
            <w:lang w:val="en-CA"/>
          </w:rPr>
          <w:t>http://www.nshrf.ca/node/149</w:t>
        </w:r>
      </w:hyperlink>
      <w:r w:rsidRPr="00192605">
        <w:rPr>
          <w:rFonts w:asciiTheme="minorHAnsi" w:hAnsiTheme="minorHAnsi"/>
          <w:color w:val="auto"/>
          <w:sz w:val="22"/>
          <w:szCs w:val="22"/>
          <w:lang w:val="en-CA"/>
        </w:rPr>
        <w:t xml:space="preserve"> </w:t>
      </w:r>
    </w:p>
    <w:p w:rsidR="00C15DE7" w:rsidRPr="00192605" w:rsidRDefault="00C15DE7" w:rsidP="00C15DE7">
      <w:pPr>
        <w:pStyle w:val="Default"/>
        <w:ind w:left="2124"/>
        <w:rPr>
          <w:rFonts w:asciiTheme="minorHAnsi" w:hAnsiTheme="minorHAnsi"/>
          <w:color w:val="auto"/>
          <w:sz w:val="22"/>
          <w:szCs w:val="22"/>
          <w:lang w:val="en-CA"/>
        </w:rPr>
      </w:pPr>
    </w:p>
    <w:p w:rsidR="0039725E" w:rsidRPr="00192605" w:rsidRDefault="0039725E" w:rsidP="00C15DE7">
      <w:pPr>
        <w:pStyle w:val="Default"/>
        <w:ind w:left="2124"/>
        <w:rPr>
          <w:rFonts w:asciiTheme="minorHAnsi" w:hAnsiTheme="minorHAnsi"/>
          <w:color w:val="auto"/>
          <w:sz w:val="22"/>
          <w:szCs w:val="22"/>
        </w:rPr>
      </w:pPr>
      <w:r w:rsidRPr="00192605">
        <w:rPr>
          <w:rFonts w:asciiTheme="minorHAnsi" w:hAnsiTheme="minorHAnsi"/>
          <w:color w:val="auto"/>
          <w:sz w:val="22"/>
          <w:szCs w:val="22"/>
        </w:rPr>
        <w:t xml:space="preserve">NS08 – </w:t>
      </w:r>
      <w:r w:rsidR="00967570" w:rsidRPr="00192605">
        <w:rPr>
          <w:rFonts w:asciiTheme="minorHAnsi" w:hAnsiTheme="minorHAnsi"/>
          <w:color w:val="auto"/>
          <w:sz w:val="22"/>
          <w:szCs w:val="22"/>
        </w:rPr>
        <w:t>Services communautaires de la Nouvelle-Écosse/Développement de la main d’</w:t>
      </w:r>
      <w:proofErr w:type="spellStart"/>
      <w:r w:rsidR="00967570" w:rsidRPr="00192605">
        <w:rPr>
          <w:rFonts w:asciiTheme="minorHAnsi" w:hAnsiTheme="minorHAnsi"/>
          <w:color w:val="auto"/>
          <w:sz w:val="22"/>
          <w:szCs w:val="22"/>
        </w:rPr>
        <w:t>oeuvre</w:t>
      </w:r>
      <w:proofErr w:type="spellEnd"/>
      <w:r w:rsidR="00967570" w:rsidRPr="00192605">
        <w:rPr>
          <w:rFonts w:asciiTheme="minorHAnsi" w:hAnsiTheme="minorHAnsi"/>
          <w:color w:val="auto"/>
          <w:sz w:val="22"/>
          <w:szCs w:val="22"/>
        </w:rPr>
        <w:t xml:space="preserve"> et du marché du travail. </w:t>
      </w:r>
      <w:r w:rsidRPr="00192605">
        <w:rPr>
          <w:rFonts w:asciiTheme="minorHAnsi" w:hAnsiTheme="minorHAnsi"/>
          <w:color w:val="auto"/>
          <w:sz w:val="22"/>
          <w:szCs w:val="22"/>
        </w:rPr>
        <w:t xml:space="preserve">(2009-2011). </w:t>
      </w:r>
      <w:proofErr w:type="spellStart"/>
      <w:r w:rsidRPr="00192605">
        <w:rPr>
          <w:rFonts w:asciiTheme="minorHAnsi" w:hAnsiTheme="minorHAnsi"/>
          <w:i/>
          <w:iCs/>
          <w:color w:val="auto"/>
          <w:sz w:val="22"/>
          <w:szCs w:val="22"/>
        </w:rPr>
        <w:t>Poverty</w:t>
      </w:r>
      <w:proofErr w:type="spellEnd"/>
      <w:r w:rsidRPr="00192605">
        <w:rPr>
          <w:rFonts w:asciiTheme="minorHAnsi" w:hAnsiTheme="minorHAnsi"/>
          <w:i/>
          <w:iCs/>
          <w:color w:val="auto"/>
          <w:sz w:val="22"/>
          <w:szCs w:val="22"/>
        </w:rPr>
        <w:t xml:space="preserve"> </w:t>
      </w:r>
      <w:proofErr w:type="spellStart"/>
      <w:r w:rsidRPr="00192605">
        <w:rPr>
          <w:rFonts w:asciiTheme="minorHAnsi" w:hAnsiTheme="minorHAnsi"/>
          <w:i/>
          <w:iCs/>
          <w:color w:val="auto"/>
          <w:sz w:val="22"/>
          <w:szCs w:val="22"/>
        </w:rPr>
        <w:t>Reduction</w:t>
      </w:r>
      <w:proofErr w:type="spellEnd"/>
      <w:r w:rsidRPr="00192605">
        <w:rPr>
          <w:rFonts w:asciiTheme="minorHAnsi" w:hAnsiTheme="minorHAnsi"/>
          <w:i/>
          <w:iCs/>
          <w:color w:val="auto"/>
          <w:sz w:val="22"/>
          <w:szCs w:val="22"/>
        </w:rPr>
        <w:t xml:space="preserve"> Actions and Initiatives</w:t>
      </w:r>
      <w:r w:rsidR="00967570" w:rsidRPr="00192605">
        <w:rPr>
          <w:rFonts w:asciiTheme="minorHAnsi" w:hAnsiTheme="minorHAnsi"/>
          <w:i/>
          <w:iCs/>
          <w:color w:val="auto"/>
          <w:sz w:val="22"/>
          <w:szCs w:val="22"/>
        </w:rPr>
        <w:t xml:space="preserve"> (en anglais</w:t>
      </w:r>
      <w:proofErr w:type="gramStart"/>
      <w:r w:rsidR="00967570" w:rsidRPr="00192605">
        <w:rPr>
          <w:rFonts w:asciiTheme="minorHAnsi" w:hAnsiTheme="minorHAnsi"/>
          <w:i/>
          <w:iCs/>
          <w:color w:val="auto"/>
          <w:sz w:val="22"/>
          <w:szCs w:val="22"/>
        </w:rPr>
        <w:t xml:space="preserve">) </w:t>
      </w:r>
      <w:r w:rsidRPr="00192605">
        <w:rPr>
          <w:rFonts w:asciiTheme="minorHAnsi" w:hAnsiTheme="minorHAnsi"/>
          <w:color w:val="auto"/>
          <w:sz w:val="22"/>
          <w:szCs w:val="22"/>
        </w:rPr>
        <w:t>.</w:t>
      </w:r>
      <w:proofErr w:type="gramEnd"/>
      <w:r w:rsidRPr="00192605">
        <w:rPr>
          <w:rFonts w:asciiTheme="minorHAnsi" w:hAnsiTheme="minorHAnsi"/>
          <w:color w:val="auto"/>
          <w:sz w:val="22"/>
          <w:szCs w:val="22"/>
        </w:rPr>
        <w:t xml:space="preserve"> </w:t>
      </w:r>
      <w:hyperlink r:id="rId40" w:history="1">
        <w:r w:rsidR="00C15DE7" w:rsidRPr="00192605">
          <w:rPr>
            <w:rStyle w:val="Hyperlink"/>
            <w:rFonts w:asciiTheme="minorHAnsi" w:hAnsiTheme="minorHAnsi"/>
            <w:sz w:val="22"/>
            <w:szCs w:val="22"/>
          </w:rPr>
          <w:t>http://www.gov.ns.ca/coms/poverty/index.html 54</w:t>
        </w:r>
      </w:hyperlink>
      <w:r w:rsidRPr="00192605">
        <w:rPr>
          <w:rFonts w:asciiTheme="minorHAnsi" w:hAnsiTheme="minorHAnsi"/>
          <w:color w:val="auto"/>
          <w:sz w:val="22"/>
          <w:szCs w:val="22"/>
        </w:rPr>
        <w:t xml:space="preserve"> </w:t>
      </w:r>
    </w:p>
    <w:p w:rsidR="00C15DE7" w:rsidRPr="00192605" w:rsidRDefault="00C15DE7" w:rsidP="00C15DE7">
      <w:pPr>
        <w:pStyle w:val="Default"/>
        <w:ind w:left="2124"/>
        <w:rPr>
          <w:rFonts w:asciiTheme="minorHAnsi" w:hAnsiTheme="minorHAnsi"/>
          <w:color w:val="auto"/>
          <w:sz w:val="22"/>
          <w:szCs w:val="22"/>
        </w:rPr>
      </w:pPr>
    </w:p>
    <w:p w:rsidR="0039725E" w:rsidRPr="00192605" w:rsidRDefault="0039725E" w:rsidP="0039725E">
      <w:pPr>
        <w:pStyle w:val="Default"/>
        <w:rPr>
          <w:rFonts w:asciiTheme="minorHAnsi" w:hAnsiTheme="minorHAnsi" w:cstheme="minorBidi"/>
          <w:color w:val="auto"/>
          <w:sz w:val="22"/>
          <w:szCs w:val="22"/>
        </w:rPr>
      </w:pPr>
    </w:p>
    <w:p w:rsidR="00C15DE7" w:rsidRPr="00192605" w:rsidRDefault="00C15DE7" w:rsidP="00C15DE7">
      <w:pPr>
        <w:pStyle w:val="Default"/>
        <w:pageBreakBefore/>
        <w:ind w:left="1416" w:firstLine="708"/>
        <w:rPr>
          <w:rFonts w:asciiTheme="minorHAnsi" w:hAnsiTheme="minorHAnsi" w:cstheme="minorBidi"/>
          <w:color w:val="auto"/>
          <w:sz w:val="22"/>
          <w:szCs w:val="22"/>
        </w:rPr>
      </w:pPr>
      <w:r w:rsidRPr="00192605">
        <w:rPr>
          <w:rFonts w:asciiTheme="minorHAnsi" w:hAnsiTheme="minorHAnsi" w:cstheme="minorBidi"/>
          <w:b/>
          <w:bCs/>
          <w:color w:val="auto"/>
          <w:sz w:val="22"/>
          <w:szCs w:val="22"/>
        </w:rPr>
        <w:t xml:space="preserve">GOUVERNEMENT FÉDÉRAL </w:t>
      </w:r>
      <w:r w:rsidR="0039725E" w:rsidRPr="00192605">
        <w:rPr>
          <w:rFonts w:asciiTheme="minorHAnsi" w:hAnsiTheme="minorHAnsi" w:cstheme="minorBidi"/>
          <w:b/>
          <w:bCs/>
          <w:color w:val="auto"/>
          <w:sz w:val="22"/>
          <w:szCs w:val="22"/>
        </w:rPr>
        <w:t xml:space="preserve"> </w:t>
      </w:r>
    </w:p>
    <w:p w:rsidR="00C15DE7" w:rsidRPr="00192605" w:rsidRDefault="00C15DE7" w:rsidP="00C15DE7">
      <w:pPr>
        <w:pStyle w:val="Default"/>
        <w:ind w:left="2124"/>
        <w:rPr>
          <w:rFonts w:asciiTheme="minorHAnsi" w:hAnsiTheme="minorHAnsi"/>
          <w:color w:val="auto"/>
          <w:sz w:val="22"/>
          <w:szCs w:val="22"/>
        </w:rPr>
      </w:pPr>
    </w:p>
    <w:p w:rsidR="00F661BD" w:rsidRPr="00192605" w:rsidRDefault="0039725E" w:rsidP="00F661BD">
      <w:pPr>
        <w:pStyle w:val="Default"/>
        <w:ind w:left="2124"/>
        <w:rPr>
          <w:rFonts w:asciiTheme="minorHAnsi" w:hAnsiTheme="minorHAnsi"/>
          <w:color w:val="auto"/>
          <w:sz w:val="22"/>
          <w:szCs w:val="22"/>
        </w:rPr>
      </w:pPr>
      <w:r w:rsidRPr="00192605">
        <w:rPr>
          <w:rFonts w:asciiTheme="minorHAnsi" w:hAnsiTheme="minorHAnsi"/>
          <w:color w:val="auto"/>
          <w:sz w:val="22"/>
          <w:szCs w:val="22"/>
        </w:rPr>
        <w:t xml:space="preserve">FED01 – </w:t>
      </w:r>
      <w:r w:rsidR="00F661BD" w:rsidRPr="00192605">
        <w:rPr>
          <w:rFonts w:asciiTheme="minorHAnsi" w:hAnsiTheme="minorHAnsi"/>
          <w:color w:val="auto"/>
          <w:sz w:val="22"/>
          <w:szCs w:val="22"/>
        </w:rPr>
        <w:t xml:space="preserve">Gouvernement fédéral du </w:t>
      </w:r>
      <w:r w:rsidRPr="00192605">
        <w:rPr>
          <w:rFonts w:asciiTheme="minorHAnsi" w:hAnsiTheme="minorHAnsi"/>
          <w:color w:val="auto"/>
          <w:sz w:val="22"/>
          <w:szCs w:val="22"/>
        </w:rPr>
        <w:t xml:space="preserve"> Canada, R</w:t>
      </w:r>
      <w:r w:rsidR="00F661BD" w:rsidRPr="00192605">
        <w:rPr>
          <w:rFonts w:asciiTheme="minorHAnsi" w:hAnsiTheme="minorHAnsi"/>
          <w:color w:val="auto"/>
          <w:sz w:val="22"/>
          <w:szCs w:val="22"/>
        </w:rPr>
        <w:t>apport du Comité permanent des Ressources humaines, du Développement des compétences, du Développement social et de la condition des personnes handicapées </w:t>
      </w:r>
      <w:r w:rsidRPr="00192605">
        <w:rPr>
          <w:rFonts w:asciiTheme="minorHAnsi" w:hAnsiTheme="minorHAnsi"/>
          <w:color w:val="auto"/>
          <w:sz w:val="22"/>
          <w:szCs w:val="22"/>
        </w:rPr>
        <w:t xml:space="preserve"> (2010). </w:t>
      </w:r>
      <w:r w:rsidR="00F661BD" w:rsidRPr="00192605">
        <w:rPr>
          <w:rFonts w:asciiTheme="minorHAnsi" w:hAnsiTheme="minorHAnsi"/>
          <w:i/>
          <w:color w:val="auto"/>
          <w:sz w:val="22"/>
          <w:szCs w:val="22"/>
        </w:rPr>
        <w:t>Plan fédéral de réduction de la pauvreté</w:t>
      </w:r>
      <w:proofErr w:type="gramStart"/>
      <w:r w:rsidR="00F661BD" w:rsidRPr="00192605">
        <w:rPr>
          <w:rFonts w:asciiTheme="minorHAnsi" w:hAnsiTheme="minorHAnsi"/>
          <w:i/>
          <w:color w:val="auto"/>
          <w:sz w:val="22"/>
          <w:szCs w:val="22"/>
        </w:rPr>
        <w:t>:  Travailler</w:t>
      </w:r>
      <w:proofErr w:type="gramEnd"/>
      <w:r w:rsidR="00F661BD" w:rsidRPr="00192605">
        <w:rPr>
          <w:rFonts w:asciiTheme="minorHAnsi" w:hAnsiTheme="minorHAnsi"/>
          <w:i/>
          <w:color w:val="auto"/>
          <w:sz w:val="22"/>
          <w:szCs w:val="22"/>
        </w:rPr>
        <w:t xml:space="preserve"> ensemble afin de réduire la pauvreté au Canada</w:t>
      </w:r>
      <w:r w:rsidR="00F661BD" w:rsidRPr="00192605">
        <w:rPr>
          <w:rFonts w:asciiTheme="minorHAnsi" w:hAnsiTheme="minorHAnsi"/>
          <w:color w:val="auto"/>
          <w:sz w:val="22"/>
          <w:szCs w:val="22"/>
        </w:rPr>
        <w:t xml:space="preserve"> </w:t>
      </w:r>
    </w:p>
    <w:p w:rsidR="00F661BD" w:rsidRPr="00192605" w:rsidRDefault="0080289E" w:rsidP="00F661BD">
      <w:pPr>
        <w:pStyle w:val="Default"/>
        <w:ind w:left="2124"/>
        <w:rPr>
          <w:rFonts w:asciiTheme="minorHAnsi" w:hAnsiTheme="minorHAnsi"/>
          <w:color w:val="auto"/>
          <w:sz w:val="22"/>
          <w:szCs w:val="22"/>
        </w:rPr>
      </w:pPr>
      <w:hyperlink r:id="rId41" w:history="1">
        <w:r w:rsidR="00F661BD" w:rsidRPr="00192605">
          <w:rPr>
            <w:rStyle w:val="Hyperlink"/>
            <w:rFonts w:asciiTheme="minorHAnsi" w:hAnsiTheme="minorHAnsi"/>
            <w:sz w:val="22"/>
            <w:szCs w:val="22"/>
          </w:rPr>
          <w:t>http://www.parl.gc.ca/HousePublications/Publication.aspx?DocId=4770921&amp;Language=F</w:t>
        </w:r>
      </w:hyperlink>
    </w:p>
    <w:p w:rsidR="00F661BD" w:rsidRPr="00192605" w:rsidRDefault="00F661BD" w:rsidP="00F661BD">
      <w:pPr>
        <w:pStyle w:val="Default"/>
        <w:ind w:left="2124"/>
        <w:rPr>
          <w:rFonts w:asciiTheme="minorHAnsi" w:hAnsiTheme="minorHAnsi"/>
          <w:color w:val="auto"/>
          <w:sz w:val="22"/>
          <w:szCs w:val="22"/>
        </w:rPr>
      </w:pPr>
    </w:p>
    <w:p w:rsidR="00F661BD" w:rsidRPr="00192605" w:rsidRDefault="0039725E" w:rsidP="00F661BD">
      <w:pPr>
        <w:pStyle w:val="Default"/>
        <w:ind w:left="2124"/>
        <w:rPr>
          <w:rFonts w:asciiTheme="minorHAnsi" w:hAnsiTheme="minorHAnsi"/>
          <w:color w:val="auto"/>
          <w:sz w:val="22"/>
          <w:szCs w:val="22"/>
        </w:rPr>
      </w:pPr>
      <w:r w:rsidRPr="00192605">
        <w:rPr>
          <w:rFonts w:asciiTheme="minorHAnsi" w:hAnsiTheme="minorHAnsi"/>
          <w:color w:val="auto"/>
          <w:sz w:val="22"/>
          <w:szCs w:val="22"/>
        </w:rPr>
        <w:t xml:space="preserve">FED02 – </w:t>
      </w:r>
      <w:r w:rsidR="00F661BD" w:rsidRPr="00192605">
        <w:rPr>
          <w:rFonts w:asciiTheme="minorHAnsi" w:hAnsiTheme="minorHAnsi"/>
          <w:color w:val="auto"/>
          <w:sz w:val="22"/>
          <w:szCs w:val="22"/>
        </w:rPr>
        <w:t xml:space="preserve">Ministère des Finances du Canada </w:t>
      </w:r>
      <w:r w:rsidRPr="00192605">
        <w:rPr>
          <w:rFonts w:asciiTheme="minorHAnsi" w:hAnsiTheme="minorHAnsi"/>
          <w:color w:val="auto"/>
          <w:sz w:val="22"/>
          <w:szCs w:val="22"/>
        </w:rPr>
        <w:t xml:space="preserve"> (2011). </w:t>
      </w:r>
      <w:r w:rsidR="00F661BD" w:rsidRPr="00192605">
        <w:rPr>
          <w:rFonts w:asciiTheme="minorHAnsi" w:hAnsiTheme="minorHAnsi"/>
          <w:i/>
          <w:color w:val="auto"/>
          <w:sz w:val="22"/>
          <w:szCs w:val="22"/>
        </w:rPr>
        <w:t>Soutien fédéral aux provinces et territoires</w:t>
      </w:r>
      <w:r w:rsidR="00F661BD" w:rsidRPr="00192605">
        <w:rPr>
          <w:rFonts w:asciiTheme="minorHAnsi" w:hAnsiTheme="minorHAnsi"/>
          <w:color w:val="auto"/>
          <w:sz w:val="22"/>
          <w:szCs w:val="22"/>
        </w:rPr>
        <w:t xml:space="preserve"> </w:t>
      </w:r>
      <w:hyperlink r:id="rId42" w:history="1">
        <w:r w:rsidR="00F661BD" w:rsidRPr="00192605">
          <w:rPr>
            <w:rStyle w:val="Hyperlink"/>
            <w:rFonts w:asciiTheme="minorHAnsi" w:hAnsiTheme="minorHAnsi"/>
            <w:sz w:val="22"/>
            <w:szCs w:val="22"/>
          </w:rPr>
          <w:t>http://www.fin.gc.ca/fedprov/mtp-fra.asp</w:t>
        </w:r>
      </w:hyperlink>
    </w:p>
    <w:p w:rsidR="00C15DE7" w:rsidRPr="00192605" w:rsidRDefault="00F661BD" w:rsidP="00F661BD">
      <w:pPr>
        <w:pStyle w:val="Default"/>
        <w:ind w:left="2124"/>
        <w:rPr>
          <w:rFonts w:asciiTheme="minorHAnsi" w:hAnsiTheme="minorHAnsi"/>
          <w:color w:val="auto"/>
          <w:sz w:val="22"/>
          <w:szCs w:val="22"/>
        </w:rPr>
      </w:pPr>
      <w:r w:rsidRPr="00192605">
        <w:rPr>
          <w:rFonts w:asciiTheme="minorHAnsi" w:hAnsiTheme="minorHAnsi"/>
          <w:color w:val="auto"/>
          <w:sz w:val="22"/>
          <w:szCs w:val="22"/>
        </w:rPr>
        <w:t xml:space="preserve"> </w:t>
      </w:r>
    </w:p>
    <w:p w:rsidR="00F661BD" w:rsidRPr="00192605" w:rsidRDefault="0039725E" w:rsidP="00C15DE7">
      <w:pPr>
        <w:pStyle w:val="Default"/>
        <w:ind w:left="2124"/>
        <w:rPr>
          <w:rFonts w:asciiTheme="minorHAnsi" w:hAnsiTheme="minorHAnsi"/>
          <w:color w:val="auto"/>
          <w:sz w:val="22"/>
          <w:szCs w:val="22"/>
        </w:rPr>
      </w:pPr>
      <w:r w:rsidRPr="00192605">
        <w:rPr>
          <w:rFonts w:asciiTheme="minorHAnsi" w:hAnsiTheme="minorHAnsi"/>
          <w:color w:val="auto"/>
          <w:sz w:val="22"/>
          <w:szCs w:val="22"/>
        </w:rPr>
        <w:t>FED03 – Parl</w:t>
      </w:r>
      <w:r w:rsidR="00F661BD" w:rsidRPr="00192605">
        <w:rPr>
          <w:rFonts w:asciiTheme="minorHAnsi" w:hAnsiTheme="minorHAnsi"/>
          <w:color w:val="auto"/>
          <w:sz w:val="22"/>
          <w:szCs w:val="22"/>
        </w:rPr>
        <w:t>ement du Canada – Communiqué de presse (8 décembre 2009)</w:t>
      </w:r>
      <w:r w:rsidRPr="00192605">
        <w:rPr>
          <w:rFonts w:asciiTheme="minorHAnsi" w:hAnsiTheme="minorHAnsi"/>
          <w:color w:val="auto"/>
          <w:sz w:val="22"/>
          <w:szCs w:val="22"/>
        </w:rPr>
        <w:t>), “</w:t>
      </w:r>
      <w:r w:rsidR="00F661BD" w:rsidRPr="00192605">
        <w:rPr>
          <w:rFonts w:asciiTheme="minorHAnsi" w:hAnsiTheme="minorHAnsi"/>
          <w:i/>
          <w:color w:val="auto"/>
          <w:sz w:val="22"/>
          <w:szCs w:val="22"/>
        </w:rPr>
        <w:t>Pauvreté, logement, itinérance</w:t>
      </w:r>
      <w:proofErr w:type="gramStart"/>
      <w:r w:rsidR="00F661BD" w:rsidRPr="00192605">
        <w:rPr>
          <w:rFonts w:asciiTheme="minorHAnsi" w:hAnsiTheme="minorHAnsi"/>
          <w:i/>
          <w:color w:val="auto"/>
          <w:sz w:val="22"/>
          <w:szCs w:val="22"/>
        </w:rPr>
        <w:t>:  les</w:t>
      </w:r>
      <w:proofErr w:type="gramEnd"/>
      <w:r w:rsidR="00F661BD" w:rsidRPr="00192605">
        <w:rPr>
          <w:rFonts w:asciiTheme="minorHAnsi" w:hAnsiTheme="minorHAnsi"/>
          <w:i/>
          <w:color w:val="auto"/>
          <w:sz w:val="22"/>
          <w:szCs w:val="22"/>
        </w:rPr>
        <w:t xml:space="preserve"> trois fronts de la lutte contre l’exclusion</w:t>
      </w:r>
      <w:r w:rsidRPr="00192605">
        <w:rPr>
          <w:rFonts w:asciiTheme="minorHAnsi" w:hAnsiTheme="minorHAnsi"/>
          <w:color w:val="auto"/>
          <w:sz w:val="22"/>
          <w:szCs w:val="22"/>
        </w:rPr>
        <w:t xml:space="preserve">.” </w:t>
      </w:r>
      <w:r w:rsidR="00F661BD" w:rsidRPr="00192605">
        <w:rPr>
          <w:rFonts w:asciiTheme="minorHAnsi" w:hAnsiTheme="minorHAnsi"/>
          <w:color w:val="auto"/>
          <w:sz w:val="22"/>
          <w:szCs w:val="22"/>
        </w:rPr>
        <w:t xml:space="preserve">http://www.parl.gc.ca/Content/SEN/Committee/402/citi/subsite-dec09/Report_Home-f.htm </w:t>
      </w:r>
    </w:p>
    <w:p w:rsidR="00F661BD" w:rsidRPr="00192605" w:rsidRDefault="00F661BD" w:rsidP="00C15DE7">
      <w:pPr>
        <w:pStyle w:val="Default"/>
        <w:ind w:left="2124"/>
        <w:rPr>
          <w:rFonts w:asciiTheme="minorHAnsi" w:hAnsiTheme="minorHAnsi"/>
          <w:color w:val="auto"/>
          <w:sz w:val="22"/>
          <w:szCs w:val="22"/>
        </w:rPr>
      </w:pPr>
    </w:p>
    <w:p w:rsidR="00370B09" w:rsidRPr="00192605" w:rsidRDefault="0039725E" w:rsidP="00C15DE7">
      <w:pPr>
        <w:pStyle w:val="Default"/>
        <w:ind w:left="2124"/>
        <w:rPr>
          <w:rFonts w:asciiTheme="minorHAnsi" w:hAnsiTheme="minorHAnsi"/>
          <w:color w:val="auto"/>
          <w:sz w:val="22"/>
          <w:szCs w:val="22"/>
        </w:rPr>
      </w:pPr>
      <w:r w:rsidRPr="00192605">
        <w:rPr>
          <w:rFonts w:asciiTheme="minorHAnsi" w:hAnsiTheme="minorHAnsi"/>
          <w:color w:val="auto"/>
          <w:sz w:val="22"/>
          <w:szCs w:val="22"/>
        </w:rPr>
        <w:t xml:space="preserve">FED04 – Service Canada, </w:t>
      </w:r>
      <w:r w:rsidR="00370B09" w:rsidRPr="00192605">
        <w:rPr>
          <w:rFonts w:asciiTheme="minorHAnsi" w:hAnsiTheme="minorHAnsi"/>
          <w:color w:val="auto"/>
          <w:sz w:val="22"/>
          <w:szCs w:val="22"/>
        </w:rPr>
        <w:t>Pension invalidité du RPC – Dé</w:t>
      </w:r>
      <w:r w:rsidRPr="00192605">
        <w:rPr>
          <w:rFonts w:asciiTheme="minorHAnsi" w:hAnsiTheme="minorHAnsi"/>
          <w:color w:val="auto"/>
          <w:sz w:val="22"/>
          <w:szCs w:val="22"/>
        </w:rPr>
        <w:t xml:space="preserve">finition </w:t>
      </w:r>
      <w:r w:rsidR="00370B09" w:rsidRPr="00192605">
        <w:rPr>
          <w:rFonts w:asciiTheme="minorHAnsi" w:hAnsiTheme="minorHAnsi"/>
          <w:color w:val="auto"/>
          <w:sz w:val="22"/>
          <w:szCs w:val="22"/>
        </w:rPr>
        <w:t>de</w:t>
      </w:r>
      <w:r w:rsidRPr="00192605">
        <w:rPr>
          <w:rFonts w:asciiTheme="minorHAnsi" w:hAnsiTheme="minorHAnsi"/>
          <w:color w:val="auto"/>
          <w:sz w:val="22"/>
          <w:szCs w:val="22"/>
        </w:rPr>
        <w:t xml:space="preserve"> “</w:t>
      </w:r>
      <w:r w:rsidR="00370B09" w:rsidRPr="00192605">
        <w:rPr>
          <w:rFonts w:asciiTheme="minorHAnsi" w:hAnsiTheme="minorHAnsi"/>
          <w:color w:val="auto"/>
          <w:sz w:val="22"/>
          <w:szCs w:val="22"/>
        </w:rPr>
        <w:t>grave et prolongé</w:t>
      </w:r>
      <w:r w:rsidRPr="00192605">
        <w:rPr>
          <w:rFonts w:asciiTheme="minorHAnsi" w:hAnsiTheme="minorHAnsi"/>
          <w:color w:val="auto"/>
          <w:sz w:val="22"/>
          <w:szCs w:val="22"/>
        </w:rPr>
        <w:t xml:space="preserve">”. </w:t>
      </w:r>
    </w:p>
    <w:p w:rsidR="0039725E" w:rsidRPr="00192605" w:rsidRDefault="0080289E" w:rsidP="00370B09">
      <w:pPr>
        <w:pStyle w:val="Default"/>
        <w:ind w:left="2124"/>
        <w:rPr>
          <w:rFonts w:asciiTheme="minorHAnsi" w:hAnsiTheme="minorHAnsi"/>
          <w:color w:val="auto"/>
          <w:sz w:val="22"/>
          <w:szCs w:val="22"/>
        </w:rPr>
      </w:pPr>
      <w:hyperlink r:id="rId43" w:history="1">
        <w:r w:rsidR="00370B09" w:rsidRPr="00192605">
          <w:rPr>
            <w:rStyle w:val="Hyperlink"/>
            <w:rFonts w:asciiTheme="minorHAnsi" w:hAnsiTheme="minorHAnsi"/>
            <w:sz w:val="22"/>
            <w:szCs w:val="22"/>
          </w:rPr>
          <w:t>http://www.servicecanada.gc.ca/fra/services/pensions/rpc/invalidite/definition.shtml</w:t>
        </w:r>
      </w:hyperlink>
      <w:r w:rsidR="00370B09" w:rsidRPr="00192605">
        <w:rPr>
          <w:rFonts w:asciiTheme="minorHAnsi" w:hAnsiTheme="minorHAnsi"/>
          <w:color w:val="auto"/>
          <w:sz w:val="22"/>
          <w:szCs w:val="22"/>
        </w:rPr>
        <w:t xml:space="preserve"> </w:t>
      </w:r>
    </w:p>
    <w:p w:rsidR="00C15DE7" w:rsidRPr="00192605" w:rsidRDefault="00C15DE7" w:rsidP="0039725E">
      <w:pPr>
        <w:pStyle w:val="Default"/>
        <w:rPr>
          <w:rFonts w:asciiTheme="minorHAnsi" w:hAnsiTheme="minorHAnsi"/>
          <w:b/>
          <w:bCs/>
          <w:color w:val="auto"/>
          <w:sz w:val="22"/>
          <w:szCs w:val="22"/>
        </w:rPr>
      </w:pPr>
    </w:p>
    <w:p w:rsidR="00C15DE7" w:rsidRPr="00192605" w:rsidRDefault="00C15DE7" w:rsidP="0039725E">
      <w:pPr>
        <w:pStyle w:val="Default"/>
        <w:rPr>
          <w:rFonts w:asciiTheme="minorHAnsi" w:hAnsiTheme="minorHAnsi"/>
          <w:b/>
          <w:bCs/>
          <w:color w:val="auto"/>
          <w:sz w:val="22"/>
          <w:szCs w:val="22"/>
        </w:rPr>
      </w:pPr>
    </w:p>
    <w:p w:rsidR="0039725E" w:rsidRPr="00192605" w:rsidRDefault="00C15DE7" w:rsidP="00C15DE7">
      <w:pPr>
        <w:pStyle w:val="Default"/>
        <w:ind w:left="1416" w:firstLine="708"/>
        <w:rPr>
          <w:rFonts w:asciiTheme="minorHAnsi" w:hAnsiTheme="minorHAnsi"/>
          <w:color w:val="auto"/>
          <w:sz w:val="22"/>
          <w:szCs w:val="22"/>
        </w:rPr>
      </w:pPr>
      <w:r w:rsidRPr="00192605">
        <w:rPr>
          <w:rFonts w:asciiTheme="minorHAnsi" w:hAnsiTheme="minorHAnsi"/>
          <w:b/>
          <w:bCs/>
          <w:color w:val="auto"/>
          <w:sz w:val="22"/>
          <w:szCs w:val="22"/>
        </w:rPr>
        <w:t xml:space="preserve">AUTRES </w:t>
      </w:r>
      <w:r w:rsidR="0039725E" w:rsidRPr="00192605">
        <w:rPr>
          <w:rFonts w:asciiTheme="minorHAnsi" w:hAnsiTheme="minorHAnsi"/>
          <w:b/>
          <w:bCs/>
          <w:color w:val="auto"/>
          <w:sz w:val="22"/>
          <w:szCs w:val="22"/>
        </w:rPr>
        <w:t xml:space="preserve"> </w:t>
      </w:r>
    </w:p>
    <w:p w:rsidR="00C15DE7" w:rsidRPr="00192605" w:rsidRDefault="00C15DE7" w:rsidP="0039725E">
      <w:pPr>
        <w:pStyle w:val="Default"/>
        <w:rPr>
          <w:rFonts w:asciiTheme="minorHAnsi" w:hAnsiTheme="minorHAnsi"/>
          <w:color w:val="auto"/>
          <w:sz w:val="22"/>
          <w:szCs w:val="22"/>
        </w:rPr>
      </w:pPr>
    </w:p>
    <w:p w:rsidR="0039725E" w:rsidRPr="00192605" w:rsidRDefault="0039725E" w:rsidP="00C15DE7">
      <w:pPr>
        <w:pStyle w:val="Default"/>
        <w:ind w:left="2124"/>
        <w:rPr>
          <w:rFonts w:asciiTheme="minorHAnsi" w:hAnsiTheme="minorHAnsi"/>
          <w:color w:val="auto"/>
          <w:sz w:val="22"/>
          <w:szCs w:val="22"/>
          <w:lang w:val="en-CA"/>
        </w:rPr>
      </w:pPr>
      <w:proofErr w:type="spellStart"/>
      <w:proofErr w:type="gramStart"/>
      <w:r w:rsidRPr="00192605">
        <w:rPr>
          <w:rFonts w:asciiTheme="minorHAnsi" w:hAnsiTheme="minorHAnsi"/>
          <w:color w:val="auto"/>
          <w:sz w:val="22"/>
          <w:szCs w:val="22"/>
          <w:lang w:val="en-CA"/>
        </w:rPr>
        <w:t>Toye</w:t>
      </w:r>
      <w:proofErr w:type="spellEnd"/>
      <w:r w:rsidRPr="00192605">
        <w:rPr>
          <w:rFonts w:asciiTheme="minorHAnsi" w:hAnsiTheme="minorHAnsi"/>
          <w:color w:val="auto"/>
          <w:sz w:val="22"/>
          <w:szCs w:val="22"/>
          <w:lang w:val="en-CA"/>
        </w:rPr>
        <w:t xml:space="preserve">, M. and </w:t>
      </w:r>
      <w:proofErr w:type="spellStart"/>
      <w:r w:rsidRPr="00192605">
        <w:rPr>
          <w:rFonts w:asciiTheme="minorHAnsi" w:hAnsiTheme="minorHAnsi"/>
          <w:color w:val="auto"/>
          <w:sz w:val="22"/>
          <w:szCs w:val="22"/>
          <w:lang w:val="en-CA"/>
        </w:rPr>
        <w:t>Infanti</w:t>
      </w:r>
      <w:proofErr w:type="spellEnd"/>
      <w:r w:rsidRPr="00192605">
        <w:rPr>
          <w:rFonts w:asciiTheme="minorHAnsi" w:hAnsiTheme="minorHAnsi"/>
          <w:color w:val="auto"/>
          <w:sz w:val="22"/>
          <w:szCs w:val="22"/>
          <w:lang w:val="en-CA"/>
        </w:rPr>
        <w:t>, J. (2004).</w:t>
      </w:r>
      <w:proofErr w:type="gramEnd"/>
      <w:r w:rsidRPr="00192605">
        <w:rPr>
          <w:rFonts w:asciiTheme="minorHAnsi" w:hAnsiTheme="minorHAnsi"/>
          <w:color w:val="auto"/>
          <w:sz w:val="22"/>
          <w:szCs w:val="22"/>
          <w:lang w:val="en-CA"/>
        </w:rPr>
        <w:t xml:space="preserve"> </w:t>
      </w:r>
      <w:proofErr w:type="gramStart"/>
      <w:r w:rsidRPr="00192605">
        <w:rPr>
          <w:rFonts w:asciiTheme="minorHAnsi" w:hAnsiTheme="minorHAnsi"/>
          <w:i/>
          <w:iCs/>
          <w:color w:val="auto"/>
          <w:sz w:val="22"/>
          <w:szCs w:val="22"/>
          <w:lang w:val="en-CA"/>
        </w:rPr>
        <w:t>Social Inclusion and Community Economic Development Literature Review</w:t>
      </w:r>
      <w:r w:rsidRPr="00192605">
        <w:rPr>
          <w:rFonts w:asciiTheme="minorHAnsi" w:hAnsiTheme="minorHAnsi"/>
          <w:color w:val="auto"/>
          <w:sz w:val="22"/>
          <w:szCs w:val="22"/>
          <w:lang w:val="en-CA"/>
        </w:rPr>
        <w:t>.</w:t>
      </w:r>
      <w:proofErr w:type="gramEnd"/>
      <w:r w:rsidRPr="00192605">
        <w:rPr>
          <w:rFonts w:asciiTheme="minorHAnsi" w:hAnsiTheme="minorHAnsi"/>
          <w:color w:val="auto"/>
          <w:sz w:val="22"/>
          <w:szCs w:val="22"/>
          <w:lang w:val="en-CA"/>
        </w:rPr>
        <w:t xml:space="preserve"> </w:t>
      </w:r>
      <w:proofErr w:type="gramStart"/>
      <w:r w:rsidRPr="00192605">
        <w:rPr>
          <w:rFonts w:asciiTheme="minorHAnsi" w:hAnsiTheme="minorHAnsi"/>
          <w:color w:val="auto"/>
          <w:sz w:val="22"/>
          <w:szCs w:val="22"/>
          <w:lang w:val="en-CA"/>
        </w:rPr>
        <w:t>The Canadian CED Network, Victoria, BC.</w:t>
      </w:r>
      <w:proofErr w:type="gramEnd"/>
      <w:r w:rsidRPr="00192605">
        <w:rPr>
          <w:rFonts w:asciiTheme="minorHAnsi" w:hAnsiTheme="minorHAnsi"/>
          <w:color w:val="auto"/>
          <w:sz w:val="22"/>
          <w:szCs w:val="22"/>
          <w:lang w:val="en-CA"/>
        </w:rPr>
        <w:t xml:space="preserve"> http://www.ccednet-rcdec.ca/en/node/892 </w:t>
      </w:r>
    </w:p>
    <w:p w:rsidR="00370B09" w:rsidRPr="00192605" w:rsidRDefault="00370B09" w:rsidP="0039725E">
      <w:pPr>
        <w:pStyle w:val="Default"/>
        <w:rPr>
          <w:rFonts w:asciiTheme="minorHAnsi" w:hAnsiTheme="minorHAnsi"/>
          <w:color w:val="auto"/>
          <w:sz w:val="22"/>
          <w:szCs w:val="22"/>
          <w:lang w:val="en-CA"/>
        </w:rPr>
      </w:pPr>
    </w:p>
    <w:p w:rsidR="0039725E" w:rsidRPr="00192605" w:rsidRDefault="0039725E" w:rsidP="00370B09">
      <w:pPr>
        <w:pStyle w:val="Default"/>
        <w:ind w:left="2124"/>
        <w:rPr>
          <w:rFonts w:asciiTheme="minorHAnsi" w:hAnsiTheme="minorHAnsi"/>
          <w:color w:val="auto"/>
          <w:sz w:val="22"/>
          <w:szCs w:val="22"/>
        </w:rPr>
      </w:pPr>
      <w:r w:rsidRPr="00192605">
        <w:rPr>
          <w:rFonts w:asciiTheme="minorHAnsi" w:hAnsiTheme="minorHAnsi"/>
          <w:color w:val="auto"/>
          <w:sz w:val="22"/>
          <w:szCs w:val="22"/>
        </w:rPr>
        <w:t xml:space="preserve">UN01 – </w:t>
      </w:r>
      <w:r w:rsidR="006676AB" w:rsidRPr="00192605">
        <w:rPr>
          <w:rFonts w:asciiTheme="minorHAnsi" w:hAnsiTheme="minorHAnsi"/>
          <w:color w:val="auto"/>
          <w:sz w:val="22"/>
          <w:szCs w:val="22"/>
        </w:rPr>
        <w:t xml:space="preserve">Foire aux questions - United Nations </w:t>
      </w:r>
      <w:proofErr w:type="spellStart"/>
      <w:r w:rsidR="006676AB" w:rsidRPr="00192605">
        <w:rPr>
          <w:rFonts w:asciiTheme="minorHAnsi" w:hAnsiTheme="minorHAnsi"/>
          <w:color w:val="auto"/>
          <w:sz w:val="22"/>
          <w:szCs w:val="22"/>
        </w:rPr>
        <w:t>E</w:t>
      </w:r>
      <w:r w:rsidRPr="00192605">
        <w:rPr>
          <w:rFonts w:asciiTheme="minorHAnsi" w:hAnsiTheme="minorHAnsi"/>
          <w:color w:val="auto"/>
          <w:sz w:val="22"/>
          <w:szCs w:val="22"/>
        </w:rPr>
        <w:t>nable</w:t>
      </w:r>
      <w:proofErr w:type="spellEnd"/>
      <w:r w:rsidR="009867A9" w:rsidRPr="00192605">
        <w:rPr>
          <w:rFonts w:asciiTheme="minorHAnsi" w:hAnsiTheme="minorHAnsi"/>
          <w:color w:val="auto"/>
          <w:sz w:val="22"/>
          <w:szCs w:val="22"/>
        </w:rPr>
        <w:t>, extrait du 22 juin 2011 (en anglais)</w:t>
      </w:r>
      <w:r w:rsidRPr="00192605">
        <w:rPr>
          <w:rFonts w:asciiTheme="minorHAnsi" w:hAnsiTheme="minorHAnsi"/>
          <w:color w:val="auto"/>
          <w:sz w:val="22"/>
          <w:szCs w:val="22"/>
        </w:rPr>
        <w:t xml:space="preserve"> http://www.un.org/disabilities/default.asp?navid=12&amp;pid=25 </w:t>
      </w:r>
    </w:p>
    <w:p w:rsidR="00370B09" w:rsidRPr="00192605" w:rsidRDefault="00370B09" w:rsidP="0039725E">
      <w:pPr>
        <w:tabs>
          <w:tab w:val="left" w:pos="1920"/>
        </w:tabs>
      </w:pPr>
    </w:p>
    <w:p w:rsidR="0039725E" w:rsidRPr="009867A9" w:rsidRDefault="0039725E" w:rsidP="00370B09">
      <w:pPr>
        <w:tabs>
          <w:tab w:val="left" w:pos="1920"/>
        </w:tabs>
        <w:ind w:left="2124"/>
        <w:rPr>
          <w:b/>
        </w:rPr>
      </w:pPr>
      <w:r w:rsidRPr="00192605">
        <w:t xml:space="preserve">IU – </w:t>
      </w:r>
      <w:r w:rsidR="009867A9" w:rsidRPr="00192605">
        <w:t xml:space="preserve">Groupe de travail </w:t>
      </w:r>
      <w:r w:rsidR="00616B95" w:rsidRPr="00192605">
        <w:t>fédéral</w:t>
      </w:r>
      <w:r w:rsidR="009867A9" w:rsidRPr="00192605">
        <w:t xml:space="preserve">/provinciaux/territoriaux responsables des services et prestations pour les personnes handicapées </w:t>
      </w:r>
      <w:r w:rsidRPr="00192605">
        <w:t xml:space="preserve"> (2000).</w:t>
      </w:r>
      <w:r w:rsidR="009867A9" w:rsidRPr="00192605">
        <w:t>À l’unisson 2000 </w:t>
      </w:r>
      <w:proofErr w:type="gramStart"/>
      <w:r w:rsidR="009867A9" w:rsidRPr="00192605">
        <w:t>:  Les</w:t>
      </w:r>
      <w:proofErr w:type="gramEnd"/>
      <w:r w:rsidR="009867A9" w:rsidRPr="00192605">
        <w:t xml:space="preserve"> personnes handicapées au Canada</w:t>
      </w:r>
      <w:r w:rsidRPr="00192605">
        <w:rPr>
          <w:i/>
          <w:iCs/>
        </w:rPr>
        <w:t>.</w:t>
      </w:r>
      <w:hyperlink r:id="rId44" w:history="1">
        <w:r w:rsidR="009867A9" w:rsidRPr="00192605">
          <w:rPr>
            <w:rStyle w:val="Hyperlink"/>
          </w:rPr>
          <w:t>http://www.ccdonline.ca/fr/socialpolicy/poverty-citizenship/income-security-reform/in-unison-2000</w:t>
        </w:r>
      </w:hyperlink>
      <w:r w:rsidR="009867A9">
        <w:rPr>
          <w:sz w:val="23"/>
          <w:szCs w:val="23"/>
        </w:rPr>
        <w:t xml:space="preserve"> </w:t>
      </w:r>
    </w:p>
    <w:sectPr w:rsidR="0039725E" w:rsidRPr="009867A9" w:rsidSect="001C5DA9">
      <w:pgSz w:w="15840" w:h="12240" w:orient="landscape"/>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0C55"/>
    <w:multiLevelType w:val="hybridMultilevel"/>
    <w:tmpl w:val="FAD8F16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1ED15DEC"/>
    <w:multiLevelType w:val="hybridMultilevel"/>
    <w:tmpl w:val="82987D5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213E11A4"/>
    <w:multiLevelType w:val="hybridMultilevel"/>
    <w:tmpl w:val="D9DA38B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231F21A2"/>
    <w:multiLevelType w:val="hybridMultilevel"/>
    <w:tmpl w:val="B3F4238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3BEF0C53"/>
    <w:multiLevelType w:val="hybridMultilevel"/>
    <w:tmpl w:val="5DD4F560"/>
    <w:lvl w:ilvl="0" w:tplc="0C0C000F">
      <w:start w:val="5"/>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48813C61"/>
    <w:multiLevelType w:val="hybridMultilevel"/>
    <w:tmpl w:val="7DC433B8"/>
    <w:lvl w:ilvl="0" w:tplc="195E8310">
      <w:start w:val="5"/>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522115D5"/>
    <w:multiLevelType w:val="hybridMultilevel"/>
    <w:tmpl w:val="A400153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54BB5AC3"/>
    <w:multiLevelType w:val="hybridMultilevel"/>
    <w:tmpl w:val="06E4B9A2"/>
    <w:lvl w:ilvl="0" w:tplc="F70C5400">
      <w:start w:val="5"/>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562F23B3"/>
    <w:multiLevelType w:val="hybridMultilevel"/>
    <w:tmpl w:val="8924A77C"/>
    <w:lvl w:ilvl="0" w:tplc="692E7330">
      <w:start w:val="5"/>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68C34FF7"/>
    <w:multiLevelType w:val="hybridMultilevel"/>
    <w:tmpl w:val="54EE978E"/>
    <w:lvl w:ilvl="0" w:tplc="C700EFDC">
      <w:start w:val="1"/>
      <w:numFmt w:val="decimal"/>
      <w:lvlText w:val="(%1)"/>
      <w:lvlJc w:val="left"/>
      <w:pPr>
        <w:ind w:left="720" w:hanging="360"/>
      </w:pPr>
      <w:rPr>
        <w:rFonts w:cstheme="minorBidi" w:hint="default"/>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6B685024"/>
    <w:multiLevelType w:val="hybridMultilevel"/>
    <w:tmpl w:val="97CE27FE"/>
    <w:lvl w:ilvl="0" w:tplc="19A4F228">
      <w:start w:val="1"/>
      <w:numFmt w:val="decimal"/>
      <w:lvlText w:val="(%1)"/>
      <w:lvlJc w:val="left"/>
      <w:pPr>
        <w:ind w:left="720" w:hanging="360"/>
      </w:pPr>
      <w:rPr>
        <w:rFonts w:cstheme="minorBidi" w:hint="default"/>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777819C4"/>
    <w:multiLevelType w:val="hybridMultilevel"/>
    <w:tmpl w:val="BAB8DAC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79DE199F"/>
    <w:multiLevelType w:val="hybridMultilevel"/>
    <w:tmpl w:val="F60A991E"/>
    <w:lvl w:ilvl="0" w:tplc="6C6E39C0">
      <w:start w:val="1"/>
      <w:numFmt w:val="decimal"/>
      <w:lvlText w:val="(%1)"/>
      <w:lvlJc w:val="left"/>
      <w:pPr>
        <w:ind w:left="720" w:hanging="360"/>
      </w:pPr>
      <w:rPr>
        <w:rFonts w:cstheme="minorBidi" w:hint="default"/>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12"/>
  </w:num>
  <w:num w:numId="5">
    <w:abstractNumId w:val="9"/>
  </w:num>
  <w:num w:numId="6">
    <w:abstractNumId w:val="4"/>
  </w:num>
  <w:num w:numId="7">
    <w:abstractNumId w:val="7"/>
  </w:num>
  <w:num w:numId="8">
    <w:abstractNumId w:val="8"/>
  </w:num>
  <w:num w:numId="9">
    <w:abstractNumId w:val="11"/>
  </w:num>
  <w:num w:numId="10">
    <w:abstractNumId w:val="2"/>
  </w:num>
  <w:num w:numId="11">
    <w:abstractNumId w:val="6"/>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902"/>
    <w:rsid w:val="00016358"/>
    <w:rsid w:val="00050281"/>
    <w:rsid w:val="00087DE7"/>
    <w:rsid w:val="000966F6"/>
    <w:rsid w:val="000F52CC"/>
    <w:rsid w:val="0010255D"/>
    <w:rsid w:val="00133704"/>
    <w:rsid w:val="00137DE6"/>
    <w:rsid w:val="00153FDB"/>
    <w:rsid w:val="0019084D"/>
    <w:rsid w:val="00192605"/>
    <w:rsid w:val="001A05CA"/>
    <w:rsid w:val="001C5DA9"/>
    <w:rsid w:val="001F1C4E"/>
    <w:rsid w:val="00200B7F"/>
    <w:rsid w:val="00202656"/>
    <w:rsid w:val="002410B4"/>
    <w:rsid w:val="002551FD"/>
    <w:rsid w:val="002741D0"/>
    <w:rsid w:val="002800A4"/>
    <w:rsid w:val="002832BF"/>
    <w:rsid w:val="002B4099"/>
    <w:rsid w:val="002C563B"/>
    <w:rsid w:val="00306DB0"/>
    <w:rsid w:val="003555AC"/>
    <w:rsid w:val="00356BD9"/>
    <w:rsid w:val="00370B09"/>
    <w:rsid w:val="00374D4D"/>
    <w:rsid w:val="00376550"/>
    <w:rsid w:val="00380FF9"/>
    <w:rsid w:val="00385A7B"/>
    <w:rsid w:val="003935C5"/>
    <w:rsid w:val="0039725E"/>
    <w:rsid w:val="003C308C"/>
    <w:rsid w:val="003E099E"/>
    <w:rsid w:val="003E5641"/>
    <w:rsid w:val="004145FC"/>
    <w:rsid w:val="00415AD7"/>
    <w:rsid w:val="00434093"/>
    <w:rsid w:val="00446E0D"/>
    <w:rsid w:val="004678E2"/>
    <w:rsid w:val="004D3632"/>
    <w:rsid w:val="004D6437"/>
    <w:rsid w:val="00507B1F"/>
    <w:rsid w:val="00521902"/>
    <w:rsid w:val="0053315B"/>
    <w:rsid w:val="0055593F"/>
    <w:rsid w:val="005652CD"/>
    <w:rsid w:val="005A4325"/>
    <w:rsid w:val="005B05EF"/>
    <w:rsid w:val="005B064E"/>
    <w:rsid w:val="005D026B"/>
    <w:rsid w:val="005E662B"/>
    <w:rsid w:val="00616B95"/>
    <w:rsid w:val="00622B46"/>
    <w:rsid w:val="00653950"/>
    <w:rsid w:val="006567BF"/>
    <w:rsid w:val="006676AB"/>
    <w:rsid w:val="0067657F"/>
    <w:rsid w:val="006857C3"/>
    <w:rsid w:val="006E6F00"/>
    <w:rsid w:val="00707C55"/>
    <w:rsid w:val="007615CA"/>
    <w:rsid w:val="00784228"/>
    <w:rsid w:val="007D3824"/>
    <w:rsid w:val="0080289E"/>
    <w:rsid w:val="00857656"/>
    <w:rsid w:val="008854BE"/>
    <w:rsid w:val="008A2960"/>
    <w:rsid w:val="008B4D6B"/>
    <w:rsid w:val="00967570"/>
    <w:rsid w:val="009867A9"/>
    <w:rsid w:val="009A4382"/>
    <w:rsid w:val="009C29B5"/>
    <w:rsid w:val="009C50A8"/>
    <w:rsid w:val="009D07DF"/>
    <w:rsid w:val="00A2194B"/>
    <w:rsid w:val="00A22BCB"/>
    <w:rsid w:val="00A27C0D"/>
    <w:rsid w:val="00A366EE"/>
    <w:rsid w:val="00A93A36"/>
    <w:rsid w:val="00AB3A7D"/>
    <w:rsid w:val="00AE166A"/>
    <w:rsid w:val="00AF1D29"/>
    <w:rsid w:val="00AF59D0"/>
    <w:rsid w:val="00B0442A"/>
    <w:rsid w:val="00B06DFE"/>
    <w:rsid w:val="00B83B41"/>
    <w:rsid w:val="00B94DC1"/>
    <w:rsid w:val="00BA5D04"/>
    <w:rsid w:val="00BD3E97"/>
    <w:rsid w:val="00C15DE7"/>
    <w:rsid w:val="00C21832"/>
    <w:rsid w:val="00C6058C"/>
    <w:rsid w:val="00C63CE1"/>
    <w:rsid w:val="00C70CC9"/>
    <w:rsid w:val="00C82FBD"/>
    <w:rsid w:val="00CA4E66"/>
    <w:rsid w:val="00CD30FC"/>
    <w:rsid w:val="00D01B8E"/>
    <w:rsid w:val="00D12CBD"/>
    <w:rsid w:val="00D16633"/>
    <w:rsid w:val="00D260E6"/>
    <w:rsid w:val="00D5363D"/>
    <w:rsid w:val="00DA7A54"/>
    <w:rsid w:val="00DF5368"/>
    <w:rsid w:val="00E0202E"/>
    <w:rsid w:val="00E40C57"/>
    <w:rsid w:val="00EA4F8D"/>
    <w:rsid w:val="00ED0B78"/>
    <w:rsid w:val="00F01E86"/>
    <w:rsid w:val="00F641E7"/>
    <w:rsid w:val="00F661BD"/>
    <w:rsid w:val="00F9047B"/>
    <w:rsid w:val="00F9558F"/>
    <w:rsid w:val="00F96EA8"/>
    <w:rsid w:val="00FC0F05"/>
    <w:rsid w:val="00FD78C6"/>
    <w:rsid w:val="00FE786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1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1902"/>
    <w:pPr>
      <w:spacing w:after="0" w:line="240" w:lineRule="auto"/>
    </w:pPr>
  </w:style>
  <w:style w:type="paragraph" w:customStyle="1" w:styleId="Pa11">
    <w:name w:val="Pa11"/>
    <w:basedOn w:val="Normal"/>
    <w:next w:val="Normal"/>
    <w:uiPriority w:val="99"/>
    <w:rsid w:val="007D3824"/>
    <w:pPr>
      <w:autoSpaceDE w:val="0"/>
      <w:autoSpaceDN w:val="0"/>
      <w:adjustRightInd w:val="0"/>
      <w:spacing w:after="0" w:line="221" w:lineRule="atLeast"/>
    </w:pPr>
    <w:rPr>
      <w:rFonts w:ascii="Myriad Pro" w:hAnsi="Myriad Pro"/>
      <w:sz w:val="24"/>
      <w:szCs w:val="24"/>
    </w:rPr>
  </w:style>
  <w:style w:type="paragraph" w:customStyle="1" w:styleId="Pa12">
    <w:name w:val="Pa12"/>
    <w:basedOn w:val="Normal"/>
    <w:next w:val="Normal"/>
    <w:uiPriority w:val="99"/>
    <w:rsid w:val="007D3824"/>
    <w:pPr>
      <w:autoSpaceDE w:val="0"/>
      <w:autoSpaceDN w:val="0"/>
      <w:adjustRightInd w:val="0"/>
      <w:spacing w:after="0" w:line="221" w:lineRule="atLeast"/>
    </w:pPr>
    <w:rPr>
      <w:rFonts w:ascii="Myriad Pro" w:hAnsi="Myriad Pro"/>
      <w:sz w:val="24"/>
      <w:szCs w:val="24"/>
    </w:rPr>
  </w:style>
  <w:style w:type="character" w:styleId="Hyperlink">
    <w:name w:val="Hyperlink"/>
    <w:basedOn w:val="DefaultParagraphFont"/>
    <w:uiPriority w:val="99"/>
    <w:unhideWhenUsed/>
    <w:rsid w:val="00306DB0"/>
    <w:rPr>
      <w:color w:val="0000FF" w:themeColor="hyperlink"/>
      <w:u w:val="single"/>
    </w:rPr>
  </w:style>
  <w:style w:type="paragraph" w:styleId="NormalWeb">
    <w:name w:val="Normal (Web)"/>
    <w:basedOn w:val="Normal"/>
    <w:uiPriority w:val="99"/>
    <w:semiHidden/>
    <w:unhideWhenUsed/>
    <w:rsid w:val="00415AD7"/>
    <w:pPr>
      <w:spacing w:before="100" w:beforeAutospacing="1" w:after="100" w:afterAutospacing="1" w:line="240" w:lineRule="auto"/>
      <w:jc w:val="both"/>
    </w:pPr>
    <w:rPr>
      <w:rFonts w:ascii="Arial" w:eastAsia="Times New Roman" w:hAnsi="Arial" w:cs="Arial"/>
      <w:sz w:val="24"/>
      <w:szCs w:val="24"/>
      <w:lang w:eastAsia="fr-CA"/>
    </w:rPr>
  </w:style>
  <w:style w:type="character" w:styleId="FootnoteReference">
    <w:name w:val="footnote reference"/>
    <w:basedOn w:val="DefaultParagraphFont"/>
    <w:uiPriority w:val="99"/>
    <w:semiHidden/>
    <w:unhideWhenUsed/>
    <w:rsid w:val="00415AD7"/>
    <w:rPr>
      <w:rFonts w:ascii="Arial" w:hAnsi="Arial" w:cs="Arial" w:hint="default"/>
      <w:color w:val="0000FF"/>
      <w:sz w:val="15"/>
      <w:szCs w:val="15"/>
      <w:vertAlign w:val="superscript"/>
    </w:rPr>
  </w:style>
  <w:style w:type="paragraph" w:styleId="ListParagraph">
    <w:name w:val="List Paragraph"/>
    <w:basedOn w:val="Normal"/>
    <w:uiPriority w:val="34"/>
    <w:qFormat/>
    <w:rsid w:val="00050281"/>
    <w:pPr>
      <w:ind w:left="720"/>
      <w:contextualSpacing/>
    </w:pPr>
  </w:style>
  <w:style w:type="paragraph" w:customStyle="1" w:styleId="Default">
    <w:name w:val="Default"/>
    <w:rsid w:val="0039725E"/>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39725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1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1902"/>
    <w:pPr>
      <w:spacing w:after="0" w:line="240" w:lineRule="auto"/>
    </w:pPr>
  </w:style>
  <w:style w:type="paragraph" w:customStyle="1" w:styleId="Pa11">
    <w:name w:val="Pa11"/>
    <w:basedOn w:val="Normal"/>
    <w:next w:val="Normal"/>
    <w:uiPriority w:val="99"/>
    <w:rsid w:val="007D3824"/>
    <w:pPr>
      <w:autoSpaceDE w:val="0"/>
      <w:autoSpaceDN w:val="0"/>
      <w:adjustRightInd w:val="0"/>
      <w:spacing w:after="0" w:line="221" w:lineRule="atLeast"/>
    </w:pPr>
    <w:rPr>
      <w:rFonts w:ascii="Myriad Pro" w:hAnsi="Myriad Pro"/>
      <w:sz w:val="24"/>
      <w:szCs w:val="24"/>
    </w:rPr>
  </w:style>
  <w:style w:type="paragraph" w:customStyle="1" w:styleId="Pa12">
    <w:name w:val="Pa12"/>
    <w:basedOn w:val="Normal"/>
    <w:next w:val="Normal"/>
    <w:uiPriority w:val="99"/>
    <w:rsid w:val="007D3824"/>
    <w:pPr>
      <w:autoSpaceDE w:val="0"/>
      <w:autoSpaceDN w:val="0"/>
      <w:adjustRightInd w:val="0"/>
      <w:spacing w:after="0" w:line="221" w:lineRule="atLeast"/>
    </w:pPr>
    <w:rPr>
      <w:rFonts w:ascii="Myriad Pro" w:hAnsi="Myriad Pro"/>
      <w:sz w:val="24"/>
      <w:szCs w:val="24"/>
    </w:rPr>
  </w:style>
  <w:style w:type="character" w:styleId="Hyperlink">
    <w:name w:val="Hyperlink"/>
    <w:basedOn w:val="DefaultParagraphFont"/>
    <w:uiPriority w:val="99"/>
    <w:unhideWhenUsed/>
    <w:rsid w:val="00306DB0"/>
    <w:rPr>
      <w:color w:val="0000FF" w:themeColor="hyperlink"/>
      <w:u w:val="single"/>
    </w:rPr>
  </w:style>
  <w:style w:type="paragraph" w:styleId="NormalWeb">
    <w:name w:val="Normal (Web)"/>
    <w:basedOn w:val="Normal"/>
    <w:uiPriority w:val="99"/>
    <w:semiHidden/>
    <w:unhideWhenUsed/>
    <w:rsid w:val="00415AD7"/>
    <w:pPr>
      <w:spacing w:before="100" w:beforeAutospacing="1" w:after="100" w:afterAutospacing="1" w:line="240" w:lineRule="auto"/>
      <w:jc w:val="both"/>
    </w:pPr>
    <w:rPr>
      <w:rFonts w:ascii="Arial" w:eastAsia="Times New Roman" w:hAnsi="Arial" w:cs="Arial"/>
      <w:sz w:val="24"/>
      <w:szCs w:val="24"/>
      <w:lang w:eastAsia="fr-CA"/>
    </w:rPr>
  </w:style>
  <w:style w:type="character" w:styleId="FootnoteReference">
    <w:name w:val="footnote reference"/>
    <w:basedOn w:val="DefaultParagraphFont"/>
    <w:uiPriority w:val="99"/>
    <w:semiHidden/>
    <w:unhideWhenUsed/>
    <w:rsid w:val="00415AD7"/>
    <w:rPr>
      <w:rFonts w:ascii="Arial" w:hAnsi="Arial" w:cs="Arial" w:hint="default"/>
      <w:color w:val="0000FF"/>
      <w:sz w:val="15"/>
      <w:szCs w:val="15"/>
      <w:vertAlign w:val="superscript"/>
    </w:rPr>
  </w:style>
  <w:style w:type="paragraph" w:styleId="ListParagraph">
    <w:name w:val="List Paragraph"/>
    <w:basedOn w:val="Normal"/>
    <w:uiPriority w:val="34"/>
    <w:qFormat/>
    <w:rsid w:val="00050281"/>
    <w:pPr>
      <w:ind w:left="720"/>
      <w:contextualSpacing/>
    </w:pPr>
  </w:style>
  <w:style w:type="paragraph" w:customStyle="1" w:styleId="Default">
    <w:name w:val="Default"/>
    <w:rsid w:val="0039725E"/>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3972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mb.ca/fs/allaboard/pubs/newsletter_winter_11.pdf" TargetMode="External"/><Relationship Id="rId13" Type="http://schemas.openxmlformats.org/officeDocument/2006/relationships/hyperlink" Target="http://www.gov.mb.ca/jec/eia/pwd/pdfs/lmapd_report_09_10.fr.pdf" TargetMode="External"/><Relationship Id="rId18" Type="http://schemas.openxmlformats.org/officeDocument/2006/relationships/hyperlink" Target="http://www.barrierfreemb.com/" TargetMode="External"/><Relationship Id="rId26" Type="http://schemas.openxmlformats.org/officeDocument/2006/relationships/hyperlink" Target="http://www2.gnb.ca/content/dam/gnb/Departments/esic/pdf/" TargetMode="External"/><Relationship Id="rId39" Type="http://schemas.openxmlformats.org/officeDocument/2006/relationships/hyperlink" Target="http://www.nshrf.ca/node/149" TargetMode="External"/><Relationship Id="rId3" Type="http://schemas.microsoft.com/office/2007/relationships/stylesWithEffects" Target="stylesWithEffects.xml"/><Relationship Id="rId21" Type="http://schemas.openxmlformats.org/officeDocument/2006/relationships/hyperlink" Target="http://www.gnb.ca/0048/pcsdp/PDF/2009StatusReport2-e.pdf" TargetMode="External"/><Relationship Id="rId34" Type="http://schemas.openxmlformats.org/officeDocument/2006/relationships/hyperlink" Target="http://novascotia.ca/coms/fr/no_longer_published/specials/poverty/index.html" TargetMode="External"/><Relationship Id="rId42" Type="http://schemas.openxmlformats.org/officeDocument/2006/relationships/hyperlink" Target="http://www.fin.gc.ca/fedprov/mtp-fra.asp" TargetMode="External"/><Relationship Id="rId7" Type="http://schemas.openxmlformats.org/officeDocument/2006/relationships/hyperlink" Target="http://www.gov.mb.ca/fs/allaboard/pubs/allaboard_report.pdf" TargetMode="External"/><Relationship Id="rId12" Type="http://schemas.openxmlformats.org/officeDocument/2006/relationships/hyperlink" Target="http://www.gov.mb.ca/dio/pdf/opening_doors.fr.pdf" TargetMode="External"/><Relationship Id="rId17" Type="http://schemas.openxmlformats.org/officeDocument/2006/relationships/hyperlink" Target="http://www.smd.mb.ca/uploads/Bill%2047%20Media%20Release.pdf" TargetMode="External"/><Relationship Id="rId25" Type="http://schemas.openxmlformats.org/officeDocument/2006/relationships/hyperlink" Target="http://www2.gnb.ca/content/dam/gnb/Departments/sd-ds/pdf/" TargetMode="External"/><Relationship Id="rId33" Type="http://schemas.openxmlformats.org/officeDocument/2006/relationships/hyperlink" Target="http://www.gov.ns.ca/coms/department/documents/Labour_Market_Agreement_Disabilities_Report_2010.pdf" TargetMode="External"/><Relationship Id="rId38" Type="http://schemas.openxmlformats.org/officeDocument/2006/relationships/hyperlink" Target="http://www.gov.ns.ca/coms/noteworthy/SPD_Fact_Sheet.htm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anlii.org/fr/mb/legis/lois/cplm-c-p94.7/89386/cplm-c-p94.7.htm" TargetMode="External"/><Relationship Id="rId20" Type="http://schemas.openxmlformats.org/officeDocument/2006/relationships/hyperlink" Target="http://www2.gnb.ca/content/dam/gnb/Departments/esic/pdf/Booklet-f.pdf" TargetMode="External"/><Relationship Id="rId29" Type="http://schemas.openxmlformats.org/officeDocument/2006/relationships/hyperlink" Target="http://www.hrle.gov.nl.ca/hrle/dpo/default.html" TargetMode="External"/><Relationship Id="rId41" Type="http://schemas.openxmlformats.org/officeDocument/2006/relationships/hyperlink" Target="http://www.parl.gc.ca/HousePublications/Publication.aspx?DocId=4770921&amp;Language=F" TargetMode="External"/><Relationship Id="rId1" Type="http://schemas.openxmlformats.org/officeDocument/2006/relationships/numbering" Target="numbering.xml"/><Relationship Id="rId6" Type="http://schemas.openxmlformats.org/officeDocument/2006/relationships/hyperlink" Target="http://www.gov.mb.ca/allaboard/pubs/strategy_paper.fr.pdf" TargetMode="External"/><Relationship Id="rId11" Type="http://schemas.openxmlformats.org/officeDocument/2006/relationships/hyperlink" Target="http://www.gov.mb.ca/housing/pubs/homeworks_brochure.fr.pdf" TargetMode="External"/><Relationship Id="rId24" Type="http://schemas.openxmlformats.org/officeDocument/2006/relationships/hyperlink" Target="http://www2.gnb.ca/content/dam/gnb/Departments/sd-ds/pdf/Housing/housingstrategy-f.pdf" TargetMode="External"/><Relationship Id="rId32" Type="http://schemas.openxmlformats.org/officeDocument/2006/relationships/hyperlink" Target="http://assembly.nl.ca/Legislation/sr/statutes/h13-1.htm" TargetMode="External"/><Relationship Id="rId37" Type="http://schemas.openxmlformats.org/officeDocument/2006/relationships/hyperlink" Target="http://www.gov.ns.ca/coms/department/documents/Labour_Market_Agreement_Disabilities_Report_2010.pdf" TargetMode="External"/><Relationship Id="rId40" Type="http://schemas.openxmlformats.org/officeDocument/2006/relationships/hyperlink" Target="http://www.gov.ns.ca/coms/poverty/index.html%2054"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kepovertyhistory.ca/blog/new-legislation-strengthes-poverty-reduction-strategy" TargetMode="External"/><Relationship Id="rId23" Type="http://schemas.openxmlformats.org/officeDocument/2006/relationships/hyperlink" Target="https://www.gnb.ca/0055/pdf/2011/7379%20french.pdf" TargetMode="External"/><Relationship Id="rId28" Type="http://schemas.openxmlformats.org/officeDocument/2006/relationships/hyperlink" Target="http://www.gov.nl.ca/publicat/povertydiscussion-final.pdf" TargetMode="External"/><Relationship Id="rId36" Type="http://schemas.openxmlformats.org/officeDocument/2006/relationships/hyperlink" Target="http://www.novascotia.ca/coms/noteworthy/JulyFirst.html" TargetMode="External"/><Relationship Id="rId10" Type="http://schemas.openxmlformats.org/officeDocument/2006/relationships/hyperlink" Target="http://gov.mb.ca/finance/budget11/index.htm" TargetMode="External"/><Relationship Id="rId19" Type="http://schemas.openxmlformats.org/officeDocument/2006/relationships/hyperlink" Target="http://web2.gov.mb.ca/laws/statutes/ccsm/a001-7f.php" TargetMode="External"/><Relationship Id="rId31" Type="http://schemas.openxmlformats.org/officeDocument/2006/relationships/hyperlink" Target="http://www.hrle.gov.nl.ca/hrle/publications/ceys/lmapd_" TargetMode="External"/><Relationship Id="rId44" Type="http://schemas.openxmlformats.org/officeDocument/2006/relationships/hyperlink" Target="http://www.ccdonline.ca/fr/socialpolicy/poverty-citizenship/income-security-reform/in-unison-2000" TargetMode="External"/><Relationship Id="rId4" Type="http://schemas.openxmlformats.org/officeDocument/2006/relationships/settings" Target="settings.xml"/><Relationship Id="rId9" Type="http://schemas.openxmlformats.org/officeDocument/2006/relationships/hyperlink" Target="http://www.gov.mb.ca/fs/allaboard/pubs/newsletter_summer_11.pdf" TargetMode="External"/><Relationship Id="rId14" Type="http://schemas.openxmlformats.org/officeDocument/2006/relationships/hyperlink" Target="http://www.gov.mb.ca/dio/citizenship/index.fr.html" TargetMode="External"/><Relationship Id="rId22" Type="http://schemas.openxmlformats.org/officeDocument/2006/relationships/hyperlink" Target="http://www2.gnb.ca/content/dam/gnb/Departments/esic/pdf/RapportAnnuel2010-2011.pdf" TargetMode="External"/><Relationship Id="rId27" Type="http://schemas.openxmlformats.org/officeDocument/2006/relationships/hyperlink" Target="http://www.hrle.gov.nl.ca/hrle/publications/poverty/PRSProgessReport.pdf" TargetMode="External"/><Relationship Id="rId30" Type="http://schemas.openxmlformats.org/officeDocument/2006/relationships/hyperlink" Target="http://www.hrle.gov.nl.ca/hrle/poverty/guidebook/guide_to_gov_programs_and_services.pdf" TargetMode="External"/><Relationship Id="rId35" Type="http://schemas.openxmlformats.org/officeDocument/2006/relationships/hyperlink" Target="http://www.gov.ns.ca/coms/specials/poverty/documents/poverty_report_2009.pdf" TargetMode="External"/><Relationship Id="rId43" Type="http://schemas.openxmlformats.org/officeDocument/2006/relationships/hyperlink" Target="http://www.servicecanada.gc.ca/fra/services/pensions/rpc/invalidite/defini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16</Pages>
  <Words>6124</Words>
  <Characters>33685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Maryse</dc:creator>
  <cp:keywords/>
  <dc:description/>
  <cp:lastModifiedBy>Maryse</cp:lastModifiedBy>
  <cp:revision>6</cp:revision>
  <dcterms:created xsi:type="dcterms:W3CDTF">2015-04-08T15:20:00Z</dcterms:created>
  <dcterms:modified xsi:type="dcterms:W3CDTF">2015-04-22T03:20:00Z</dcterms:modified>
</cp:coreProperties>
</file>